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3D94DA1E">
                <wp:simplePos x="0" y="0"/>
                <wp:positionH relativeFrom="margin">
                  <wp:align>left</wp:align>
                </wp:positionH>
                <wp:positionV relativeFrom="paragraph">
                  <wp:posOffset>109855</wp:posOffset>
                </wp:positionV>
                <wp:extent cx="5772150" cy="74009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3197A1F4"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A66232" w:rsidRPr="00E279E4">
                              <w:rPr>
                                <w:rFonts w:ascii="Arial Narrow" w:hAnsi="Arial Narrow"/>
                                <w:b/>
                                <w:bCs/>
                                <w:lang w:val="sl-SI"/>
                              </w:rPr>
                              <w:t>22., 23., 24. in 29. april 2024</w:t>
                            </w:r>
                            <w:r w:rsidRPr="00793717">
                              <w:rPr>
                                <w:rFonts w:ascii="Arial Narrow" w:hAnsi="Arial Narrow"/>
                                <w:lang w:val="sl-SI"/>
                              </w:rPr>
                              <w:tab/>
                            </w:r>
                            <w:r w:rsidRPr="00793717">
                              <w:rPr>
                                <w:rFonts w:ascii="Arial Narrow" w:hAnsi="Arial Narrow"/>
                                <w:lang w:val="sl-SI"/>
                              </w:rPr>
                              <w:tab/>
                              <w:t xml:space="preserve">Kraj:  </w:t>
                            </w:r>
                            <w:r w:rsidR="00A66232">
                              <w:rPr>
                                <w:rFonts w:ascii="Arial Narrow" w:hAnsi="Arial Narrow"/>
                                <w:lang w:val="sl-SI"/>
                              </w:rPr>
                              <w:t>OZS, Celovška 71,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54.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3197A1F4"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A66232" w:rsidRPr="00E279E4">
                        <w:rPr>
                          <w:rFonts w:ascii="Arial Narrow" w:hAnsi="Arial Narrow"/>
                          <w:b/>
                          <w:bCs/>
                          <w:lang w:val="sl-SI"/>
                        </w:rPr>
                        <w:t>22., 23., 24. in 29. april 2024</w:t>
                      </w:r>
                      <w:r w:rsidRPr="00793717">
                        <w:rPr>
                          <w:rFonts w:ascii="Arial Narrow" w:hAnsi="Arial Narrow"/>
                          <w:lang w:val="sl-SI"/>
                        </w:rPr>
                        <w:tab/>
                      </w:r>
                      <w:r w:rsidRPr="00793717">
                        <w:rPr>
                          <w:rFonts w:ascii="Arial Narrow" w:hAnsi="Arial Narrow"/>
                          <w:lang w:val="sl-SI"/>
                        </w:rPr>
                        <w:tab/>
                        <w:t xml:space="preserve">Kraj:  </w:t>
                      </w:r>
                      <w:r w:rsidR="00A66232">
                        <w:rPr>
                          <w:rFonts w:ascii="Arial Narrow" w:hAnsi="Arial Narrow"/>
                          <w:lang w:val="sl-SI"/>
                        </w:rPr>
                        <w:t>OZS, Celovška 71,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projekta</w:t>
      </w:r>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Šola za hortikulturo in vizualne umetnosti Celje, Ljubljanska cesta 97, 3000 Celje; Šolski center Slovenj Gradec, Koroška ulica 11, Slovenj Gradec; Šolski center Slovenske Konjice-Zreče, Tattenbachova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C03DF7">
        <w:rPr>
          <w:sz w:val="18"/>
          <w:szCs w:val="18"/>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10" w:history="1">
        <w:r w:rsidR="00F666C5" w:rsidRPr="00C03DF7">
          <w:rPr>
            <w:sz w:val="18"/>
            <w:szCs w:val="18"/>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C03DF7">
        <w:rPr>
          <w:rFonts w:ascii="Arial" w:hAnsi="Arial" w:cs="Arial"/>
          <w:sz w:val="18"/>
          <w:szCs w:val="18"/>
        </w:rPr>
        <w:t xml:space="preserve"> </w:t>
      </w:r>
      <w:r w:rsidR="00515337" w:rsidRPr="00C03DF7">
        <w:rPr>
          <w:rFonts w:ascii="Arial" w:hAnsi="Arial" w:cs="Arial"/>
          <w:sz w:val="18"/>
          <w:szCs w:val="18"/>
          <w:lang w:val="sl-SI" w:eastAsia="sl-SI"/>
        </w:rPr>
        <w:t>e-naslov:</w:t>
      </w:r>
      <w:r w:rsidR="00F666C5" w:rsidRPr="00C03DF7">
        <w:rPr>
          <w:sz w:val="18"/>
          <w:szCs w:val="18"/>
        </w:rPr>
        <w:t xml:space="preserve"> </w:t>
      </w:r>
      <w:r w:rsidR="00F666C5" w:rsidRPr="00C03DF7">
        <w:rPr>
          <w:rFonts w:ascii="Arial" w:hAnsi="Arial" w:cs="Arial"/>
          <w:sz w:val="18"/>
          <w:szCs w:val="18"/>
          <w:lang w:val="sl-SI" w:eastAsia="sl-SI"/>
        </w:rPr>
        <w:t>nadja.kunilo@gimng.si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C03DF7">
        <w:rPr>
          <w:sz w:val="18"/>
          <w:szCs w:val="18"/>
        </w:rPr>
        <w:t xml:space="preserve"> </w:t>
      </w:r>
      <w:hyperlink r:id="rId14"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C03DF7">
        <w:rPr>
          <w:sz w:val="18"/>
          <w:szCs w:val="18"/>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C03DF7">
        <w:rPr>
          <w:sz w:val="18"/>
          <w:szCs w:val="18"/>
        </w:rPr>
        <w:t xml:space="preserve"> </w:t>
      </w:r>
      <w:r w:rsidR="009B4BA1" w:rsidRPr="00C03DF7">
        <w:rPr>
          <w:rFonts w:ascii="Arial" w:hAnsi="Arial" w:cs="Arial"/>
          <w:sz w:val="18"/>
          <w:szCs w:val="18"/>
          <w:lang w:val="sl-SI" w:eastAsia="sl-SI"/>
        </w:rPr>
        <w:t>odvetnica.dosedla@siol.si</w:t>
      </w:r>
      <w:hyperlink r:id="rId15"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6"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r w:rsidR="00EB03E1" w:rsidRPr="00C03DF7">
        <w:rPr>
          <w:rFonts w:ascii="Arial" w:hAnsi="Arial" w:cs="Arial"/>
          <w:sz w:val="18"/>
          <w:szCs w:val="18"/>
          <w:lang w:val="sl-SI" w:eastAsia="sl-SI"/>
        </w:rPr>
        <w:t>anonimizirane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ki je hkrati končni uporabnik in poslovodeči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konzorcijskimi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A74105">
      <w:headerReference w:type="default" r:id="rId17"/>
      <w:footerReference w:type="default" r:id="rId18"/>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0532" w14:textId="77777777" w:rsidR="00A74105" w:rsidRDefault="00A74105" w:rsidP="003F1B31">
      <w:r>
        <w:separator/>
      </w:r>
    </w:p>
  </w:endnote>
  <w:endnote w:type="continuationSeparator" w:id="0">
    <w:p w14:paraId="258EC936" w14:textId="77777777" w:rsidR="00A74105" w:rsidRDefault="00A74105"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NextGenerationEU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CE7492" w:rsidRDefault="00537A0F" w:rsidP="00CE7492">
    <w:pPr>
      <w:jc w:val="both"/>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7F3F" w14:textId="77777777" w:rsidR="00A74105" w:rsidRDefault="00A74105" w:rsidP="003F1B31">
      <w:r>
        <w:separator/>
      </w:r>
    </w:p>
  </w:footnote>
  <w:footnote w:type="continuationSeparator" w:id="0">
    <w:p w14:paraId="3A1BA44F" w14:textId="77777777" w:rsidR="00A74105" w:rsidRDefault="00A74105"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1CCE"/>
    <w:rsid w:val="00115AB5"/>
    <w:rsid w:val="001365FD"/>
    <w:rsid w:val="001368D2"/>
    <w:rsid w:val="00146897"/>
    <w:rsid w:val="00150F84"/>
    <w:rsid w:val="00185420"/>
    <w:rsid w:val="00191A29"/>
    <w:rsid w:val="00192CF7"/>
    <w:rsid w:val="001A6238"/>
    <w:rsid w:val="001B3312"/>
    <w:rsid w:val="001B5196"/>
    <w:rsid w:val="001C0911"/>
    <w:rsid w:val="001D1F17"/>
    <w:rsid w:val="001D602C"/>
    <w:rsid w:val="001D7C0B"/>
    <w:rsid w:val="00200143"/>
    <w:rsid w:val="00213837"/>
    <w:rsid w:val="00230560"/>
    <w:rsid w:val="00231E29"/>
    <w:rsid w:val="00245CED"/>
    <w:rsid w:val="00251B08"/>
    <w:rsid w:val="002602E0"/>
    <w:rsid w:val="00263E2F"/>
    <w:rsid w:val="0026412C"/>
    <w:rsid w:val="0026415B"/>
    <w:rsid w:val="0027103B"/>
    <w:rsid w:val="00284315"/>
    <w:rsid w:val="00291158"/>
    <w:rsid w:val="0029166F"/>
    <w:rsid w:val="002A510F"/>
    <w:rsid w:val="002B2295"/>
    <w:rsid w:val="002B5E1A"/>
    <w:rsid w:val="002B6BD3"/>
    <w:rsid w:val="002F0BED"/>
    <w:rsid w:val="002F3515"/>
    <w:rsid w:val="002F6C87"/>
    <w:rsid w:val="002F7933"/>
    <w:rsid w:val="00321224"/>
    <w:rsid w:val="00323471"/>
    <w:rsid w:val="00324095"/>
    <w:rsid w:val="0032633D"/>
    <w:rsid w:val="00327915"/>
    <w:rsid w:val="00331A8F"/>
    <w:rsid w:val="0035453D"/>
    <w:rsid w:val="00357B00"/>
    <w:rsid w:val="00361B75"/>
    <w:rsid w:val="00361BEA"/>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5787"/>
    <w:rsid w:val="00536921"/>
    <w:rsid w:val="00537252"/>
    <w:rsid w:val="00537A0F"/>
    <w:rsid w:val="00537BC2"/>
    <w:rsid w:val="00540389"/>
    <w:rsid w:val="0056704E"/>
    <w:rsid w:val="005671F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D5CA5"/>
    <w:rsid w:val="006E4EA1"/>
    <w:rsid w:val="006F2D25"/>
    <w:rsid w:val="00700827"/>
    <w:rsid w:val="00707923"/>
    <w:rsid w:val="0071019D"/>
    <w:rsid w:val="0071119B"/>
    <w:rsid w:val="00711592"/>
    <w:rsid w:val="00720481"/>
    <w:rsid w:val="00721184"/>
    <w:rsid w:val="0072559B"/>
    <w:rsid w:val="00726CE6"/>
    <w:rsid w:val="00727D0E"/>
    <w:rsid w:val="007309C9"/>
    <w:rsid w:val="00740642"/>
    <w:rsid w:val="00741FBC"/>
    <w:rsid w:val="007538D7"/>
    <w:rsid w:val="00756D41"/>
    <w:rsid w:val="00761B7C"/>
    <w:rsid w:val="00773A29"/>
    <w:rsid w:val="00793717"/>
    <w:rsid w:val="00793A55"/>
    <w:rsid w:val="007A3CA2"/>
    <w:rsid w:val="007A6265"/>
    <w:rsid w:val="007E4A70"/>
    <w:rsid w:val="007E7D0E"/>
    <w:rsid w:val="007F23A7"/>
    <w:rsid w:val="00821DA3"/>
    <w:rsid w:val="008263F0"/>
    <w:rsid w:val="008279BB"/>
    <w:rsid w:val="0083326A"/>
    <w:rsid w:val="0085046B"/>
    <w:rsid w:val="00851FB0"/>
    <w:rsid w:val="00854DED"/>
    <w:rsid w:val="00867000"/>
    <w:rsid w:val="008902AF"/>
    <w:rsid w:val="00892FEF"/>
    <w:rsid w:val="008A4B18"/>
    <w:rsid w:val="008B037E"/>
    <w:rsid w:val="008C1921"/>
    <w:rsid w:val="008C3C4D"/>
    <w:rsid w:val="008D23B0"/>
    <w:rsid w:val="008D7C20"/>
    <w:rsid w:val="008F75EB"/>
    <w:rsid w:val="00904A62"/>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105"/>
    <w:rsid w:val="00AA4BF7"/>
    <w:rsid w:val="00AA4CE8"/>
    <w:rsid w:val="00AB3365"/>
    <w:rsid w:val="00AC4934"/>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F0FAD"/>
    <w:rsid w:val="00E17C6C"/>
    <w:rsid w:val="00E20114"/>
    <w:rsid w:val="00E268C1"/>
    <w:rsid w:val="00E279E4"/>
    <w:rsid w:val="00E317A4"/>
    <w:rsid w:val="00E32F11"/>
    <w:rsid w:val="00E3343E"/>
    <w:rsid w:val="00E37773"/>
    <w:rsid w:val="00E37E0B"/>
    <w:rsid w:val="00E50CD0"/>
    <w:rsid w:val="00E5418B"/>
    <w:rsid w:val="00E64584"/>
    <w:rsid w:val="00E74146"/>
    <w:rsid w:val="00E8227A"/>
    <w:rsid w:val="00E8631C"/>
    <w:rsid w:val="00E863EE"/>
    <w:rsid w:val="00E865D0"/>
    <w:rsid w:val="00E90DAD"/>
    <w:rsid w:val="00E93617"/>
    <w:rsid w:val="00E95158"/>
    <w:rsid w:val="00EA60E1"/>
    <w:rsid w:val="00EB03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info@icp-mb.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yperlink" Target="mailto:odvetnica.dosedla@siol.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Registracija OZS OZS</cp:lastModifiedBy>
  <cp:revision>13</cp:revision>
  <cp:lastPrinted>2012-05-22T11:09:00Z</cp:lastPrinted>
  <dcterms:created xsi:type="dcterms:W3CDTF">2024-03-12T08:48:00Z</dcterms:created>
  <dcterms:modified xsi:type="dcterms:W3CDTF">2024-03-14T07:04:00Z</dcterms:modified>
</cp:coreProperties>
</file>