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AF37E" w14:textId="0EA87780" w:rsidR="00337A09" w:rsidRDefault="00337A09" w:rsidP="00337A09">
      <w:pPr>
        <w:pStyle w:val="datumtevilka"/>
        <w:jc w:val="both"/>
        <w:rPr>
          <w:b/>
        </w:rPr>
      </w:pPr>
      <w:bookmarkStart w:id="0" w:name="_GoBack"/>
      <w:bookmarkEnd w:id="0"/>
    </w:p>
    <w:p w14:paraId="6FFD19D3" w14:textId="3FB722FB" w:rsidR="00337A09" w:rsidRPr="00337A09" w:rsidRDefault="00907CC2" w:rsidP="00337A09">
      <w:pPr>
        <w:pStyle w:val="datumtevilka"/>
        <w:jc w:val="both"/>
        <w:rPr>
          <w:b/>
        </w:rPr>
      </w:pPr>
      <w:r>
        <w:rPr>
          <w:b/>
        </w:rPr>
        <w:t xml:space="preserve">Koriščenje davčne olajšave za zaposlovanje </w:t>
      </w:r>
      <w:r w:rsidR="0039207B">
        <w:rPr>
          <w:b/>
        </w:rPr>
        <w:t xml:space="preserve">po noveli ZDDPO-2S </w:t>
      </w:r>
      <w:r>
        <w:rPr>
          <w:b/>
        </w:rPr>
        <w:t xml:space="preserve">za osebe, ki so bile zaposlene v letu </w:t>
      </w:r>
      <w:r w:rsidR="0039207B">
        <w:rPr>
          <w:b/>
        </w:rPr>
        <w:t xml:space="preserve">2020 in </w:t>
      </w:r>
      <w:r>
        <w:rPr>
          <w:b/>
        </w:rPr>
        <w:t>2021</w:t>
      </w:r>
    </w:p>
    <w:p w14:paraId="7FCAEFDE" w14:textId="1460DA8D" w:rsidR="007D75CF" w:rsidRPr="00BC2517" w:rsidRDefault="00337A09" w:rsidP="0094292D">
      <w:pPr>
        <w:pStyle w:val="datumtevilka"/>
        <w:jc w:val="both"/>
      </w:pPr>
      <w:r>
        <w:rPr>
          <w:b/>
        </w:rPr>
        <w:t xml:space="preserve">Pojasnilo FURS št. </w:t>
      </w:r>
      <w:r w:rsidR="007B0217" w:rsidRPr="007B0217">
        <w:rPr>
          <w:b/>
        </w:rPr>
        <w:t>0920-4180/2023-4</w:t>
      </w:r>
      <w:r>
        <w:rPr>
          <w:b/>
        </w:rPr>
        <w:t>, z dne 30. 03. 202</w:t>
      </w:r>
      <w:r w:rsidR="0029548D">
        <w:rPr>
          <w:b/>
        </w:rPr>
        <w:t>3</w:t>
      </w:r>
    </w:p>
    <w:p w14:paraId="27610BC0" w14:textId="77777777" w:rsidR="0094292D" w:rsidRDefault="0094292D" w:rsidP="0094292D">
      <w:pPr>
        <w:jc w:val="both"/>
        <w:rPr>
          <w:lang w:val="sl-SI"/>
        </w:rPr>
      </w:pPr>
    </w:p>
    <w:p w14:paraId="5DBBB851" w14:textId="1E8B307A" w:rsidR="007B0217" w:rsidRPr="00BF4E0D" w:rsidRDefault="007B0217" w:rsidP="007B0217">
      <w:pPr>
        <w:jc w:val="both"/>
        <w:rPr>
          <w:rFonts w:ascii="Calibri" w:hAnsi="Calibri"/>
          <w:szCs w:val="22"/>
          <w:lang w:val="sl-SI"/>
        </w:rPr>
      </w:pPr>
      <w:r>
        <w:rPr>
          <w:lang w:val="sl-SI"/>
        </w:rPr>
        <w:t xml:space="preserve">Upoštevaje določbo novega 55. b člena ZDDPO-2, ki </w:t>
      </w:r>
      <w:r w:rsidRPr="00BF4E0D">
        <w:rPr>
          <w:lang w:val="sl-SI"/>
        </w:rPr>
        <w:t xml:space="preserve">določa, da lahko zavezanec uveljavlja olajšavo za prvih 24 mesecev zaposlitve teh oseb v davčnem letu zaposlitve </w:t>
      </w:r>
      <w:r w:rsidRPr="00BF4E0D">
        <w:rPr>
          <w:bCs/>
          <w:lang w:val="sl-SI"/>
        </w:rPr>
        <w:t>in v naslednjih davčnih letih do poteka 24 mesecev</w:t>
      </w:r>
      <w:r w:rsidRPr="00BF4E0D">
        <w:rPr>
          <w:lang w:val="sl-SI"/>
        </w:rPr>
        <w:t xml:space="preserve">, </w:t>
      </w:r>
      <w:r>
        <w:rPr>
          <w:lang w:val="sl-SI"/>
        </w:rPr>
        <w:t>vas zanima, ali lahko uveljavljate olajšavo za zaposlovanje tudi za osebe, ki ste</w:t>
      </w:r>
      <w:r w:rsidRPr="00BF4E0D">
        <w:rPr>
          <w:lang w:val="sl-SI"/>
        </w:rPr>
        <w:t xml:space="preserve"> jih zaposlili v</w:t>
      </w:r>
      <w:r>
        <w:rPr>
          <w:lang w:val="sl-SI"/>
        </w:rPr>
        <w:t xml:space="preserve"> letu 2021, in sicer za leto 2022</w:t>
      </w:r>
      <w:r w:rsidRPr="00BF4E0D">
        <w:rPr>
          <w:lang w:val="sl-SI"/>
        </w:rPr>
        <w:t xml:space="preserve"> do poteka roka 24 mesecev.</w:t>
      </w:r>
    </w:p>
    <w:p w14:paraId="059AE11B" w14:textId="77777777" w:rsidR="007B0217" w:rsidRPr="00BC2517" w:rsidRDefault="007B0217" w:rsidP="007B0217">
      <w:pPr>
        <w:rPr>
          <w:lang w:val="sl-SI"/>
        </w:rPr>
      </w:pPr>
    </w:p>
    <w:p w14:paraId="21BA8EF2" w14:textId="77777777" w:rsidR="007B0217" w:rsidRDefault="007B0217" w:rsidP="007B0217">
      <w:pPr>
        <w:rPr>
          <w:lang w:val="sl-SI"/>
        </w:rPr>
      </w:pPr>
      <w:r>
        <w:rPr>
          <w:lang w:val="sl-SI"/>
        </w:rPr>
        <w:t>V zvezi z navedenim vam v nadaljevanju odgovarjamo.</w:t>
      </w:r>
    </w:p>
    <w:p w14:paraId="0D0A8DFE" w14:textId="77777777" w:rsidR="007B0217" w:rsidRDefault="007B0217" w:rsidP="007B0217">
      <w:pPr>
        <w:rPr>
          <w:lang w:val="sl-SI"/>
        </w:rPr>
      </w:pPr>
    </w:p>
    <w:p w14:paraId="68F605F7" w14:textId="77777777" w:rsidR="007B0217" w:rsidRDefault="00C73B18" w:rsidP="007B0217">
      <w:pPr>
        <w:jc w:val="both"/>
        <w:rPr>
          <w:lang w:val="sl-SI"/>
        </w:rPr>
      </w:pPr>
      <w:hyperlink r:id="rId8" w:history="1">
        <w:r w:rsidR="007B0217" w:rsidRPr="00BF4E0D">
          <w:rPr>
            <w:rStyle w:val="Hiperpovezava"/>
            <w:lang w:val="sl-SI"/>
          </w:rPr>
          <w:t>Zakon o davku od dohodkov pravnih oseb (ZDDPO-2)</w:t>
        </w:r>
      </w:hyperlink>
      <w:r w:rsidR="007B0217">
        <w:rPr>
          <w:lang w:val="sl-SI"/>
        </w:rPr>
        <w:t xml:space="preserve"> v 55.b členu določa, da lahko z</w:t>
      </w:r>
      <w:r w:rsidR="007B0217" w:rsidRPr="00BF4E0D">
        <w:rPr>
          <w:lang w:val="sl-SI"/>
        </w:rPr>
        <w:t>avezanec, ki na novo zaposli osebo, mlajšo od 29 let, ali osebo, starejšo od 55 let, ali zaposli osebo v poklicu, za katerega na trgu dela primanjkuje iskalcev zaposlitve, ki v obdobju zadnjih 24 mesecev ni bila zaposlena pri tem zavezancu ali njegovi povezani osebi, lahko uveljavlja znižanje davčne osnove v višini 45 % plače te osebe, vendar največ v višin</w:t>
      </w:r>
      <w:r w:rsidR="007B0217">
        <w:rPr>
          <w:lang w:val="sl-SI"/>
        </w:rPr>
        <w:t>i davčne osnove. Skladno z drugim odstavkom istega člena lahko zavezanec</w:t>
      </w:r>
      <w:r w:rsidR="007B0217" w:rsidRPr="00BF4E0D">
        <w:rPr>
          <w:lang w:val="sl-SI"/>
        </w:rPr>
        <w:t xml:space="preserve"> uveljavlja olajšavo za prvih 24 mesecev zaposlitve teh oseb v davčnem letu zaposlitve in v naslednjih davčnih letih do poteka 24 mesecev. </w:t>
      </w:r>
    </w:p>
    <w:p w14:paraId="414FB384" w14:textId="77777777" w:rsidR="007B0217" w:rsidRDefault="007B0217" w:rsidP="007B0217">
      <w:pPr>
        <w:jc w:val="both"/>
        <w:rPr>
          <w:lang w:val="sl-SI"/>
        </w:rPr>
      </w:pPr>
    </w:p>
    <w:p w14:paraId="29A6A02D" w14:textId="77777777" w:rsidR="007B0217" w:rsidRDefault="007B0217" w:rsidP="007B0217">
      <w:pPr>
        <w:jc w:val="both"/>
        <w:rPr>
          <w:lang w:val="sl-SI"/>
        </w:rPr>
      </w:pPr>
      <w:r>
        <w:rPr>
          <w:lang w:val="sl-SI"/>
        </w:rPr>
        <w:t xml:space="preserve">55.b člen ZDDPO-2 se je z novelo </w:t>
      </w:r>
      <w:hyperlink r:id="rId9" w:history="1">
        <w:r w:rsidRPr="002332EA">
          <w:rPr>
            <w:rStyle w:val="Hiperpovezava"/>
            <w:lang w:val="sl-SI"/>
          </w:rPr>
          <w:t>ZDDPO-2S</w:t>
        </w:r>
      </w:hyperlink>
      <w:r>
        <w:rPr>
          <w:lang w:val="sl-SI"/>
        </w:rPr>
        <w:t xml:space="preserve"> v delu, ki se nanaša na novo zaposlene delavce spremenil, in sicer se z novelo:</w:t>
      </w:r>
    </w:p>
    <w:p w14:paraId="785BB44A" w14:textId="77777777" w:rsidR="007B0217" w:rsidRPr="003C6CDA" w:rsidRDefault="007B0217" w:rsidP="007B0217">
      <w:pPr>
        <w:jc w:val="both"/>
        <w:rPr>
          <w:lang w:val="sl-SI"/>
        </w:rPr>
      </w:pPr>
      <w:r>
        <w:rPr>
          <w:lang w:val="sl-SI"/>
        </w:rPr>
        <w:t>- spremeni</w:t>
      </w:r>
      <w:r w:rsidRPr="003C6CDA">
        <w:rPr>
          <w:lang w:val="sl-SI"/>
        </w:rPr>
        <w:t xml:space="preserve"> starostni pogoj</w:t>
      </w:r>
      <w:r>
        <w:rPr>
          <w:lang w:val="sl-SI"/>
        </w:rPr>
        <w:t>, ki se nanaša na novo zaposleno osebo, in sicer s 26</w:t>
      </w:r>
      <w:r w:rsidRPr="003C6CDA">
        <w:rPr>
          <w:lang w:val="sl-SI"/>
        </w:rPr>
        <w:t xml:space="preserve"> let na 29 let</w:t>
      </w:r>
      <w:r>
        <w:rPr>
          <w:lang w:val="sl-SI"/>
        </w:rPr>
        <w:t xml:space="preserve"> (znesek olajšave v višini 45 % plače)</w:t>
      </w:r>
      <w:r w:rsidRPr="003C6CDA">
        <w:rPr>
          <w:lang w:val="sl-SI"/>
        </w:rPr>
        <w:t>,</w:t>
      </w:r>
    </w:p>
    <w:p w14:paraId="712061D5" w14:textId="77777777" w:rsidR="007B0217" w:rsidRDefault="007B0217" w:rsidP="007B0217">
      <w:pPr>
        <w:jc w:val="both"/>
        <w:rPr>
          <w:lang w:val="sl-SI"/>
        </w:rPr>
      </w:pPr>
      <w:r>
        <w:rPr>
          <w:lang w:val="sl-SI"/>
        </w:rPr>
        <w:t>- črta se pogoj obvezne predhodne (vsaj 6 mesecev pred zaposlitvijo) prijavljenosti na novo zaposlene osebe v evidenci brezposelnih oseb.</w:t>
      </w:r>
    </w:p>
    <w:p w14:paraId="02561867" w14:textId="77777777" w:rsidR="007B0217" w:rsidRDefault="007B0217" w:rsidP="007B0217">
      <w:pPr>
        <w:jc w:val="both"/>
        <w:rPr>
          <w:lang w:val="sl-SI"/>
        </w:rPr>
      </w:pPr>
      <w:r>
        <w:rPr>
          <w:lang w:val="sl-SI"/>
        </w:rPr>
        <w:t>- za mlajše od 25 let je možno uveljavljati višji znesek olajšave (55 % plače).</w:t>
      </w:r>
    </w:p>
    <w:p w14:paraId="3BF2C9D0" w14:textId="77777777" w:rsidR="007B0217" w:rsidRDefault="007B0217" w:rsidP="007B0217">
      <w:pPr>
        <w:jc w:val="both"/>
        <w:rPr>
          <w:lang w:val="sl-SI"/>
        </w:rPr>
      </w:pPr>
      <w:r>
        <w:rPr>
          <w:lang w:val="sl-SI"/>
        </w:rPr>
        <w:t>- uvaja se možnost olajšave za zaposlitev deficitarnih poklicev.</w:t>
      </w:r>
    </w:p>
    <w:p w14:paraId="6C34F259" w14:textId="77777777" w:rsidR="007B0217" w:rsidRDefault="007B0217" w:rsidP="007B0217">
      <w:pPr>
        <w:jc w:val="both"/>
        <w:rPr>
          <w:lang w:val="sl-SI"/>
        </w:rPr>
      </w:pPr>
    </w:p>
    <w:p w14:paraId="4642439B" w14:textId="77777777" w:rsidR="007B0217" w:rsidRDefault="007B0217" w:rsidP="007B0217">
      <w:pPr>
        <w:jc w:val="both"/>
        <w:rPr>
          <w:lang w:val="sl-SI"/>
        </w:rPr>
      </w:pPr>
      <w:r>
        <w:rPr>
          <w:lang w:val="sl-SI"/>
        </w:rPr>
        <w:t>ZDDPO-2S pa ni posegal v:</w:t>
      </w:r>
    </w:p>
    <w:p w14:paraId="77287423" w14:textId="77777777" w:rsidR="007B0217" w:rsidRDefault="007B0217" w:rsidP="007B0217">
      <w:pPr>
        <w:pStyle w:val="Odstavekseznama"/>
        <w:numPr>
          <w:ilvl w:val="0"/>
          <w:numId w:val="6"/>
        </w:numPr>
        <w:jc w:val="both"/>
        <w:rPr>
          <w:lang w:val="sl-SI"/>
        </w:rPr>
      </w:pPr>
      <w:r>
        <w:rPr>
          <w:lang w:val="sl-SI"/>
        </w:rPr>
        <w:t>pogoj obveznega povečanja števila zaposlenih v davčnem obdobju,</w:t>
      </w:r>
    </w:p>
    <w:p w14:paraId="65FC52F5" w14:textId="77777777" w:rsidR="007B0217" w:rsidRDefault="007B0217" w:rsidP="007B0217">
      <w:pPr>
        <w:pStyle w:val="Odstavekseznama"/>
        <w:numPr>
          <w:ilvl w:val="0"/>
          <w:numId w:val="6"/>
        </w:numPr>
        <w:jc w:val="both"/>
        <w:rPr>
          <w:lang w:val="sl-SI"/>
        </w:rPr>
      </w:pPr>
      <w:r>
        <w:rPr>
          <w:lang w:val="sl-SI"/>
        </w:rPr>
        <w:t xml:space="preserve">»prepoved« predhodne zaposlenosti osebe pri davčnem zavezancu v obdobju zadnjih 24 mesecev. </w:t>
      </w:r>
    </w:p>
    <w:p w14:paraId="1C075EBE" w14:textId="77777777" w:rsidR="007B0217" w:rsidRDefault="007B0217" w:rsidP="007B0217">
      <w:pPr>
        <w:jc w:val="both"/>
        <w:rPr>
          <w:lang w:val="sl-SI"/>
        </w:rPr>
      </w:pPr>
    </w:p>
    <w:p w14:paraId="61CA5B6A" w14:textId="77777777" w:rsidR="007B0217" w:rsidRDefault="007B0217" w:rsidP="007B0217">
      <w:pPr>
        <w:jc w:val="both"/>
        <w:rPr>
          <w:lang w:val="sl-SI"/>
        </w:rPr>
      </w:pPr>
      <w:r>
        <w:rPr>
          <w:lang w:val="sl-SI"/>
        </w:rPr>
        <w:t>V zvezi z vašim vprašanjem ugotavljamo, da gre za problematiko presoje pogojev, ki se nanašajo na okoliščine, ki obstajajo v času sklenitve pogodbe o zaposlitvi, vendar pa pred spremembo ZDDPO-2S niso bile relevantne z vidika uveljavljanja davčne olajšave, so pa relevantne z vidika ZDDPO-2S. Postavlja se vprašanje, ali je možno uveljavljanje olajšave za zaposlovanje v davčnem obdobju po uveljavitvi ZDDPO-2S (začetek veljavnosti 1.1.2022) v zvezi z novo zaposlenim delavcem v letih pred uveljavitvijo ZDDPO-2S (2020 ali 2021), ki ob sklenitvi pogodbe ni izpolnjeval pogojev skladno z ZDDPO-2, izpolnjuje pa jih skladno z ZDDPO-2S in se obdobje 24 mesecev po zaposlitvi še ni izteklo.</w:t>
      </w:r>
    </w:p>
    <w:p w14:paraId="2B21DAC9" w14:textId="77777777" w:rsidR="007B0217" w:rsidRDefault="007B0217" w:rsidP="007B0217">
      <w:pPr>
        <w:jc w:val="both"/>
        <w:rPr>
          <w:lang w:val="sl-SI"/>
        </w:rPr>
      </w:pPr>
    </w:p>
    <w:p w14:paraId="4CD30C5D" w14:textId="77777777" w:rsidR="007B0217" w:rsidRPr="00B850D9" w:rsidRDefault="007B0217" w:rsidP="007B0217">
      <w:pPr>
        <w:jc w:val="both"/>
        <w:rPr>
          <w:lang w:val="sl-SI"/>
        </w:rPr>
      </w:pPr>
      <w:r>
        <w:rPr>
          <w:lang w:val="sl-SI"/>
        </w:rPr>
        <w:t>Spremenjeni pogoji, ki jih določa ZDDPO-2 v 55.b členu, se skladno s končno določbo ZDDPO-2S uporabljajo za davčna obdobja, ki se začnejo od vključno 1. 1. 2022 naprej. Pri ugotavljanju davčne osnove davčnega zavezanca za davčna obdobja od vključno 1. 1. 2022 je tako (ob odsotnosti prehodnih določb, ki bi to vprašanje urejale drugače) treba upoštevati veljavno, z ZDDPO-2S spremenjeno določbo 55.b člena ZDDPO-2. Upoštevaje navedeno je treba izhajati</w:t>
      </w:r>
      <w:r w:rsidRPr="00B850D9">
        <w:rPr>
          <w:lang w:val="sl-SI"/>
        </w:rPr>
        <w:t xml:space="preserve"> iz okoliščin, ki </w:t>
      </w:r>
      <w:r w:rsidRPr="00B850D9">
        <w:rPr>
          <w:lang w:val="sl-SI"/>
        </w:rPr>
        <w:lastRenderedPageBreak/>
        <w:t>vplivajo na davčno osnovo davčnega zavezanca od 1.1.2022 naprej</w:t>
      </w:r>
      <w:r>
        <w:rPr>
          <w:lang w:val="sl-SI"/>
        </w:rPr>
        <w:t>, kar v konkretni situaciji predstavlja plačo relevantne (t.i. novozaposlene) osebe v tem obdobju</w:t>
      </w:r>
      <w:r w:rsidRPr="00B850D9">
        <w:rPr>
          <w:lang w:val="sl-SI"/>
        </w:rPr>
        <w:t xml:space="preserve">. Skladno s prvim in četrtim </w:t>
      </w:r>
      <w:r>
        <w:rPr>
          <w:lang w:val="sl-SI"/>
        </w:rPr>
        <w:t xml:space="preserve">odstavkom 55.b člena ZDDPO-2 se namreč </w:t>
      </w:r>
      <w:r w:rsidRPr="00B850D9">
        <w:rPr>
          <w:lang w:val="sl-SI"/>
        </w:rPr>
        <w:t>višina olajšave za zaposlovanje izračunava na podlagi plače za p</w:t>
      </w:r>
      <w:r>
        <w:rPr>
          <w:lang w:val="sl-SI"/>
        </w:rPr>
        <w:t>osamezni mesec davčnega obdobja</w:t>
      </w:r>
      <w:r w:rsidRPr="00B850D9">
        <w:rPr>
          <w:lang w:val="sl-SI"/>
        </w:rPr>
        <w:t>.</w:t>
      </w:r>
    </w:p>
    <w:p w14:paraId="578E203A" w14:textId="77777777" w:rsidR="007B0217" w:rsidRDefault="007B0217" w:rsidP="007B0217">
      <w:pPr>
        <w:jc w:val="both"/>
        <w:rPr>
          <w:lang w:val="sl-SI"/>
        </w:rPr>
      </w:pPr>
    </w:p>
    <w:p w14:paraId="0277461D" w14:textId="77777777" w:rsidR="007B0217" w:rsidRDefault="007B0217" w:rsidP="007B0217">
      <w:pPr>
        <w:jc w:val="both"/>
        <w:rPr>
          <w:lang w:val="sl-SI"/>
        </w:rPr>
      </w:pPr>
      <w:r>
        <w:rPr>
          <w:lang w:val="sl-SI"/>
        </w:rPr>
        <w:t xml:space="preserve">Iz navedenega izhaja, da se upravičenost do olajšave </w:t>
      </w:r>
      <w:r>
        <w:rPr>
          <w:u w:val="single"/>
          <w:lang w:val="sl-SI"/>
        </w:rPr>
        <w:t>za davčna obdobja</w:t>
      </w:r>
      <w:r w:rsidRPr="00946232">
        <w:rPr>
          <w:u w:val="single"/>
          <w:lang w:val="sl-SI"/>
        </w:rPr>
        <w:t xml:space="preserve"> od 1. 1. 2022</w:t>
      </w:r>
      <w:r>
        <w:rPr>
          <w:lang w:val="sl-SI"/>
        </w:rPr>
        <w:t xml:space="preserve"> ne presoja po pogojih iz 55.b člena ZDDPO-2, ki so veljali ob sklenitvi pogodbe. Zakonodajalec bi, če bi bil njegov namen drugačen, v prehodnih določbah posebej razmejil trenutek veljavnosti spremenjenih pogojev ZDDPO-2S glede na trenutek sklenitve pogodbe o zaposlitvi. V kolikor so pogoji, določeni v veljavnem 55.b (torej z ZDDPO-2S spremenjenim) členu ZDDPO-2  ob sklenitvi nove pogodbe (četudi sklenjene pred začetkom uporabe ZDDPO-2S), izpolnjeni, je mogoče uveljavljati davčno olajšavo za plačo novozaposlenega delavca, ki bremeni davčnega zavezanca v davčnem obdobju od 1. 1. 2022 in vse do trenutka, ko se izteče obdobje prvih 24 mesecev od dneva zaposlitve.</w:t>
      </w:r>
    </w:p>
    <w:p w14:paraId="34C96F5F" w14:textId="77777777" w:rsidR="007B0217" w:rsidRPr="00ED0275" w:rsidRDefault="007B0217" w:rsidP="007B0217">
      <w:pPr>
        <w:jc w:val="both"/>
        <w:rPr>
          <w:lang w:val="sl-SI"/>
        </w:rPr>
      </w:pPr>
    </w:p>
    <w:p w14:paraId="2EC26921" w14:textId="77777777" w:rsidR="007B0217" w:rsidRDefault="007B0217" w:rsidP="007B0217">
      <w:pPr>
        <w:rPr>
          <w:lang w:val="sl-SI"/>
        </w:rPr>
      </w:pPr>
      <w:r>
        <w:rPr>
          <w:lang w:val="sl-SI"/>
        </w:rPr>
        <w:t>Kot primer dodajamo:</w:t>
      </w:r>
    </w:p>
    <w:p w14:paraId="7347EAC1" w14:textId="77777777" w:rsidR="007B0217" w:rsidRDefault="007B0217" w:rsidP="007B0217">
      <w:pPr>
        <w:jc w:val="both"/>
        <w:rPr>
          <w:lang w:val="sl-SI"/>
        </w:rPr>
      </w:pPr>
      <w:r>
        <w:rPr>
          <w:lang w:val="sl-SI"/>
        </w:rPr>
        <w:t xml:space="preserve">Davčni zavezanec je dne 1. 7. 2021 sklenil pogodbo o zaposlitvi z osebo staro 27 let, ki </w:t>
      </w:r>
      <w:r w:rsidRPr="00ED0275">
        <w:rPr>
          <w:lang w:val="sl-SI"/>
        </w:rPr>
        <w:t>pred</w:t>
      </w:r>
      <w:r>
        <w:rPr>
          <w:lang w:val="sl-SI"/>
        </w:rPr>
        <w:t xml:space="preserve"> novo</w:t>
      </w:r>
      <w:r w:rsidRPr="00ED0275">
        <w:rPr>
          <w:lang w:val="sl-SI"/>
        </w:rPr>
        <w:t xml:space="preserve"> zaposlitvijo </w:t>
      </w:r>
      <w:r>
        <w:rPr>
          <w:lang w:val="sl-SI"/>
        </w:rPr>
        <w:t>ni bila prijavlje</w:t>
      </w:r>
      <w:r w:rsidRPr="00ED0275">
        <w:rPr>
          <w:lang w:val="sl-SI"/>
        </w:rPr>
        <w:t>na v evidenci brezposelnih oseb</w:t>
      </w:r>
      <w:r>
        <w:rPr>
          <w:lang w:val="sl-SI"/>
        </w:rPr>
        <w:t xml:space="preserve"> in </w:t>
      </w:r>
      <w:r w:rsidRPr="00644AE2">
        <w:rPr>
          <w:lang w:val="sl-SI"/>
        </w:rPr>
        <w:t>v obdobju 24 mesecev pred zaposlitvijo ni bila zaposlena pri tem zavezancu ali njegovi povezani osebi</w:t>
      </w:r>
      <w:r>
        <w:rPr>
          <w:lang w:val="sl-SI"/>
        </w:rPr>
        <w:t xml:space="preserve">, pri čemer je davčni zavezanec v davčnem obdobju leta 2021 povečal število zaposlenih. Davčni zavezanec je skladno s pogodbo o zaposlitvi tudi v letu 2022 osebi obračunaval in izplačeval plačo. </w:t>
      </w:r>
    </w:p>
    <w:p w14:paraId="2905F12A" w14:textId="77777777" w:rsidR="007B0217" w:rsidRDefault="007B0217" w:rsidP="007B0217">
      <w:pPr>
        <w:jc w:val="both"/>
        <w:rPr>
          <w:lang w:val="sl-SI"/>
        </w:rPr>
      </w:pPr>
    </w:p>
    <w:p w14:paraId="6401A642" w14:textId="77777777" w:rsidR="007B0217" w:rsidRDefault="007B0217" w:rsidP="007B0217">
      <w:pPr>
        <w:jc w:val="both"/>
        <w:rPr>
          <w:lang w:val="sl-SI"/>
        </w:rPr>
      </w:pPr>
      <w:r>
        <w:rPr>
          <w:lang w:val="sl-SI"/>
        </w:rPr>
        <w:t>V zvezi s konkretnim primerom lahko ugotovimo, da so v zvezi z zaposleno osebo, ki ji je delodajalec plačeval plačo v letu 2022, izpolnjeni vsi zakonski pogoji iz veljavnega 55.b člena ZDDPO-2, zaradi česar davčni zavezanec lahko uveljavlja davčno olajšavo iz 55.b člena ZDDPO-2. Davčni zavezanec pa za to osebo ne more uveljavljati davčne olajšave v zvezi s plačami, ki so ga bremenile v letu 2021, saj se ZDDPO-2S za obdobje 2021 ne uporablja. Davčni zavezanec bo lahko uveljavljal davčno olajšavo za vse plače novozaposlene osebe, ki ga bremenijo do poteka obdobja 24 mesecev od sklenitve pogodbe o zaposlitvi.</w:t>
      </w:r>
    </w:p>
    <w:p w14:paraId="672EDD28" w14:textId="77777777" w:rsidR="001A3BA5" w:rsidRDefault="001A3BA5" w:rsidP="0094292D">
      <w:pPr>
        <w:pStyle w:val="podpisi"/>
        <w:jc w:val="both"/>
        <w:rPr>
          <w:lang w:val="sl-SI"/>
        </w:rPr>
      </w:pPr>
    </w:p>
    <w:p w14:paraId="4825401F" w14:textId="77777777" w:rsidR="00E77F25" w:rsidRPr="00BC2517" w:rsidRDefault="00E77F25" w:rsidP="0094292D">
      <w:pPr>
        <w:pStyle w:val="podpisi"/>
        <w:tabs>
          <w:tab w:val="left" w:pos="709"/>
        </w:tabs>
        <w:jc w:val="both"/>
        <w:rPr>
          <w:lang w:val="sl-SI"/>
        </w:rPr>
      </w:pPr>
    </w:p>
    <w:sectPr w:rsidR="00E77F25" w:rsidRPr="00BC2517" w:rsidSect="00F0025B">
      <w:headerReference w:type="even" r:id="rId10"/>
      <w:headerReference w:type="default" r:id="rId11"/>
      <w:footerReference w:type="even" r:id="rId12"/>
      <w:footerReference w:type="default" r:id="rId13"/>
      <w:headerReference w:type="first" r:id="rId14"/>
      <w:footerReference w:type="first" r:id="rId15"/>
      <w:pgSz w:w="11900" w:h="16840" w:code="9"/>
      <w:pgMar w:top="1701" w:right="1268"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98BBE" w14:textId="77777777" w:rsidR="00C73B18" w:rsidRDefault="00C73B18">
      <w:pPr>
        <w:spacing w:line="240" w:lineRule="auto"/>
      </w:pPr>
      <w:r>
        <w:separator/>
      </w:r>
    </w:p>
  </w:endnote>
  <w:endnote w:type="continuationSeparator" w:id="0">
    <w:p w14:paraId="567B2AFC" w14:textId="77777777" w:rsidR="00C73B18" w:rsidRDefault="00C73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0A6CC" w14:textId="77777777" w:rsidR="005254D1" w:rsidRDefault="005254D1">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ED56C" w14:textId="77777777" w:rsidR="000B0B21" w:rsidRDefault="00FE2BCD"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18513A">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18513A">
      <w:rPr>
        <w:rFonts w:cs="Arial"/>
        <w:noProof/>
        <w:sz w:val="16"/>
      </w:rPr>
      <w:t>2</w:t>
    </w:r>
    <w:r>
      <w:rPr>
        <w:rFonts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62A2" w14:textId="77777777" w:rsidR="000B0B21" w:rsidRDefault="00FE2BCD"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18513A">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18513A">
      <w:rPr>
        <w:rFonts w:cs="Arial"/>
        <w:noProof/>
        <w:sz w:val="16"/>
      </w:rPr>
      <w:t>2</w:t>
    </w:r>
    <w:r w:rsidRPr="006F142E">
      <w:rPr>
        <w:rFonts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17A23" w14:textId="77777777" w:rsidR="00C73B18" w:rsidRDefault="00C73B18">
      <w:pPr>
        <w:spacing w:line="240" w:lineRule="auto"/>
      </w:pPr>
      <w:r>
        <w:separator/>
      </w:r>
    </w:p>
  </w:footnote>
  <w:footnote w:type="continuationSeparator" w:id="0">
    <w:p w14:paraId="0BA3A9CD" w14:textId="77777777" w:rsidR="00C73B18" w:rsidRDefault="00C73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6A4E7" w14:textId="77777777" w:rsidR="005254D1" w:rsidRDefault="005254D1">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2A2E4" w14:textId="77777777" w:rsidR="000B0B21" w:rsidRPr="00110CBD" w:rsidRDefault="000B0B21"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E06D49" w14:paraId="2A4FE1B6" w14:textId="77777777">
      <w:trPr>
        <w:cantSplit/>
        <w:trHeight w:hRule="exact" w:val="847"/>
      </w:trPr>
      <w:tc>
        <w:tcPr>
          <w:tcW w:w="567" w:type="dxa"/>
        </w:tcPr>
        <w:p w14:paraId="61865C2A" w14:textId="77777777" w:rsidR="000B0B21" w:rsidRDefault="00FE2BC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sym w:font="Republika" w:char="F8FF"/>
          </w:r>
        </w:p>
        <w:p w14:paraId="7A8AA506" w14:textId="77777777" w:rsidR="000B0B21" w:rsidRPr="006D42D9" w:rsidRDefault="000B0B21" w:rsidP="006D42D9">
          <w:pPr>
            <w:rPr>
              <w:rFonts w:ascii="Republika" w:hAnsi="Republika"/>
              <w:sz w:val="60"/>
              <w:szCs w:val="60"/>
              <w:lang w:val="sl-SI"/>
            </w:rPr>
          </w:pPr>
        </w:p>
        <w:p w14:paraId="33E9DB5B" w14:textId="77777777" w:rsidR="000B0B21" w:rsidRPr="006D42D9" w:rsidRDefault="000B0B21" w:rsidP="006D42D9">
          <w:pPr>
            <w:rPr>
              <w:rFonts w:ascii="Republika" w:hAnsi="Republika"/>
              <w:sz w:val="60"/>
              <w:szCs w:val="60"/>
              <w:lang w:val="sl-SI"/>
            </w:rPr>
          </w:pPr>
        </w:p>
        <w:p w14:paraId="2D90F56C" w14:textId="77777777" w:rsidR="000B0B21" w:rsidRPr="006D42D9" w:rsidRDefault="000B0B21" w:rsidP="006D42D9">
          <w:pPr>
            <w:rPr>
              <w:rFonts w:ascii="Republika" w:hAnsi="Republika"/>
              <w:sz w:val="60"/>
              <w:szCs w:val="60"/>
              <w:lang w:val="sl-SI"/>
            </w:rPr>
          </w:pPr>
        </w:p>
        <w:p w14:paraId="2D23EF07" w14:textId="77777777" w:rsidR="000B0B21" w:rsidRPr="006D42D9" w:rsidRDefault="000B0B21" w:rsidP="006D42D9">
          <w:pPr>
            <w:rPr>
              <w:rFonts w:ascii="Republika" w:hAnsi="Republika"/>
              <w:sz w:val="60"/>
              <w:szCs w:val="60"/>
              <w:lang w:val="sl-SI"/>
            </w:rPr>
          </w:pPr>
        </w:p>
        <w:p w14:paraId="56959B43" w14:textId="77777777" w:rsidR="000B0B21" w:rsidRPr="006D42D9" w:rsidRDefault="000B0B21" w:rsidP="006D42D9">
          <w:pPr>
            <w:rPr>
              <w:rFonts w:ascii="Republika" w:hAnsi="Republika"/>
              <w:sz w:val="60"/>
              <w:szCs w:val="60"/>
              <w:lang w:val="sl-SI"/>
            </w:rPr>
          </w:pPr>
        </w:p>
        <w:p w14:paraId="44722A43" w14:textId="77777777" w:rsidR="000B0B21" w:rsidRPr="006D42D9" w:rsidRDefault="000B0B21" w:rsidP="006D42D9">
          <w:pPr>
            <w:rPr>
              <w:rFonts w:ascii="Republika" w:hAnsi="Republika"/>
              <w:sz w:val="60"/>
              <w:szCs w:val="60"/>
              <w:lang w:val="sl-SI"/>
            </w:rPr>
          </w:pPr>
        </w:p>
        <w:p w14:paraId="6ACC2CC5" w14:textId="77777777" w:rsidR="000B0B21" w:rsidRPr="006D42D9" w:rsidRDefault="000B0B21" w:rsidP="006D42D9">
          <w:pPr>
            <w:rPr>
              <w:rFonts w:ascii="Republika" w:hAnsi="Republika"/>
              <w:sz w:val="60"/>
              <w:szCs w:val="60"/>
              <w:lang w:val="sl-SI"/>
            </w:rPr>
          </w:pPr>
        </w:p>
        <w:p w14:paraId="35DE7901" w14:textId="77777777" w:rsidR="000B0B21" w:rsidRPr="006D42D9" w:rsidRDefault="000B0B21" w:rsidP="006D42D9">
          <w:pPr>
            <w:rPr>
              <w:rFonts w:ascii="Republika" w:hAnsi="Republika"/>
              <w:sz w:val="60"/>
              <w:szCs w:val="60"/>
              <w:lang w:val="sl-SI"/>
            </w:rPr>
          </w:pPr>
        </w:p>
        <w:p w14:paraId="32D4E385" w14:textId="77777777" w:rsidR="000B0B21" w:rsidRPr="006D42D9" w:rsidRDefault="000B0B21" w:rsidP="006D42D9">
          <w:pPr>
            <w:rPr>
              <w:rFonts w:ascii="Republika" w:hAnsi="Republika"/>
              <w:sz w:val="60"/>
              <w:szCs w:val="60"/>
              <w:lang w:val="sl-SI"/>
            </w:rPr>
          </w:pPr>
        </w:p>
        <w:p w14:paraId="2C293C16" w14:textId="77777777" w:rsidR="000B0B21" w:rsidRPr="006D42D9" w:rsidRDefault="000B0B21" w:rsidP="006D42D9">
          <w:pPr>
            <w:rPr>
              <w:rFonts w:ascii="Republika" w:hAnsi="Republika"/>
              <w:sz w:val="60"/>
              <w:szCs w:val="60"/>
              <w:lang w:val="sl-SI"/>
            </w:rPr>
          </w:pPr>
        </w:p>
        <w:p w14:paraId="44F2D881" w14:textId="77777777" w:rsidR="000B0B21" w:rsidRPr="006D42D9" w:rsidRDefault="000B0B21" w:rsidP="006D42D9">
          <w:pPr>
            <w:rPr>
              <w:rFonts w:ascii="Republika" w:hAnsi="Republika"/>
              <w:sz w:val="60"/>
              <w:szCs w:val="60"/>
              <w:lang w:val="sl-SI"/>
            </w:rPr>
          </w:pPr>
        </w:p>
        <w:p w14:paraId="3368B5C4" w14:textId="77777777" w:rsidR="000B0B21" w:rsidRPr="006D42D9" w:rsidRDefault="000B0B21" w:rsidP="006D42D9">
          <w:pPr>
            <w:rPr>
              <w:rFonts w:ascii="Republika" w:hAnsi="Republika"/>
              <w:sz w:val="60"/>
              <w:szCs w:val="60"/>
              <w:lang w:val="sl-SI"/>
            </w:rPr>
          </w:pPr>
        </w:p>
        <w:p w14:paraId="5311DF11" w14:textId="77777777" w:rsidR="000B0B21" w:rsidRPr="006D42D9" w:rsidRDefault="000B0B21" w:rsidP="006D42D9">
          <w:pPr>
            <w:rPr>
              <w:rFonts w:ascii="Republika" w:hAnsi="Republika"/>
              <w:sz w:val="60"/>
              <w:szCs w:val="60"/>
              <w:lang w:val="sl-SI"/>
            </w:rPr>
          </w:pPr>
        </w:p>
        <w:p w14:paraId="6FA77839" w14:textId="77777777" w:rsidR="000B0B21" w:rsidRPr="006D42D9" w:rsidRDefault="000B0B21" w:rsidP="006D42D9">
          <w:pPr>
            <w:rPr>
              <w:rFonts w:ascii="Republika" w:hAnsi="Republika"/>
              <w:sz w:val="60"/>
              <w:szCs w:val="60"/>
              <w:lang w:val="sl-SI"/>
            </w:rPr>
          </w:pPr>
        </w:p>
        <w:p w14:paraId="06BC15E0" w14:textId="77777777" w:rsidR="000B0B21" w:rsidRPr="006D42D9" w:rsidRDefault="000B0B21" w:rsidP="006D42D9">
          <w:pPr>
            <w:rPr>
              <w:rFonts w:ascii="Republika" w:hAnsi="Republika"/>
              <w:sz w:val="60"/>
              <w:szCs w:val="60"/>
              <w:lang w:val="sl-SI"/>
            </w:rPr>
          </w:pPr>
        </w:p>
        <w:p w14:paraId="789FECE4" w14:textId="77777777" w:rsidR="000B0B21" w:rsidRPr="006D42D9" w:rsidRDefault="000B0B21" w:rsidP="006D42D9">
          <w:pPr>
            <w:rPr>
              <w:rFonts w:ascii="Republika" w:hAnsi="Republika"/>
              <w:sz w:val="60"/>
              <w:szCs w:val="60"/>
              <w:lang w:val="sl-SI"/>
            </w:rPr>
          </w:pPr>
        </w:p>
      </w:tc>
    </w:tr>
  </w:tbl>
  <w:p w14:paraId="5592D8C2" w14:textId="77777777" w:rsidR="000B0B21" w:rsidRPr="008F3500" w:rsidRDefault="00FE2BCD" w:rsidP="00924E3C">
    <w:pPr>
      <w:autoSpaceDE w:val="0"/>
      <w:autoSpaceDN w:val="0"/>
      <w:adjustRightInd w:val="0"/>
      <w:spacing w:line="240" w:lineRule="auto"/>
      <w:rPr>
        <w:rFonts w:ascii="Republika" w:hAnsi="Republika"/>
        <w:lang w:val="sl-SI"/>
      </w:rPr>
    </w:pPr>
    <w:r>
      <w:rPr>
        <w:noProof/>
        <w:szCs w:val="20"/>
        <w:lang w:val="sl-SI" w:eastAsia="sl-SI"/>
      </w:rPr>
      <mc:AlternateContent>
        <mc:Choice Requires="wps">
          <w:drawing>
            <wp:anchor distT="0" distB="0" distL="114300" distR="114300" simplePos="0" relativeHeight="251659264" behindDoc="1" locked="0" layoutInCell="0" allowOverlap="1" wp14:anchorId="2C630A2E" wp14:editId="6E8A4593">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Line 5" o:spid="_x0000_s2049" style="mso-height-percent:0;mso-height-relative:page;mso-position-vertical-relative:page;mso-width-percent:0;mso-width-relative:page;mso-wrap-distance-bottom:0;mso-wrap-distance-left:9pt;mso-wrap-distance-right:9pt;mso-wrap-distance-top:0;position:absolute;v-text-anchor:top;z-index:-251658240" from="-34pt,283.5pt" to="-14.15pt,283.5pt" o:allowincell="f" fillcolor="this" stroked="t" strokecolor="#428299" strokeweight="0.5pt">
              <v:stroke joinstyle="round"/>
            </v:line>
          </w:pict>
        </mc:Fallback>
      </mc:AlternateContent>
    </w:r>
    <w:r w:rsidRPr="008F3500">
      <w:rPr>
        <w:rFonts w:ascii="Republika" w:hAnsi="Republika"/>
        <w:lang w:val="sl-SI"/>
      </w:rPr>
      <w:t>REPUBLIKA SLOVENIJA</w:t>
    </w:r>
  </w:p>
  <w:p w14:paraId="7D927BEA" w14:textId="77777777" w:rsidR="000B0B21" w:rsidRPr="00FD746A" w:rsidRDefault="00FE2BCD" w:rsidP="00924E3C">
    <w:pPr>
      <w:pStyle w:val="Glava"/>
      <w:tabs>
        <w:tab w:val="clear" w:pos="4320"/>
        <w:tab w:val="clear" w:pos="8640"/>
        <w:tab w:val="left" w:pos="5112"/>
      </w:tabs>
      <w:spacing w:after="120" w:line="240" w:lineRule="exact"/>
      <w:rPr>
        <w:rFonts w:ascii="Republika" w:hAnsi="Republika"/>
        <w:b/>
        <w:caps/>
        <w:lang w:val="sl-SI"/>
      </w:rPr>
    </w:pPr>
    <w:r w:rsidRPr="00FD746A">
      <w:rPr>
        <w:rFonts w:ascii="Republika" w:hAnsi="Republika"/>
        <w:b/>
        <w:caps/>
        <w:lang w:val="sl-SI"/>
      </w:rPr>
      <w:t>Ministrstvo za finance</w:t>
    </w:r>
  </w:p>
  <w:p w14:paraId="77A8C05B" w14:textId="77777777" w:rsidR="00ED7E82" w:rsidRDefault="00FE2BC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w:t>
    </w:r>
    <w:r w:rsidR="00A12D5C">
      <w:rPr>
        <w:rFonts w:ascii="Republika" w:hAnsi="Republika"/>
        <w:caps/>
        <w:lang w:val="sl-SI"/>
      </w:rPr>
      <w:t xml:space="preserve"> uprava Republike Slovenije</w:t>
    </w:r>
  </w:p>
  <w:p w14:paraId="1FE8691C" w14:textId="77777777" w:rsidR="005254D1" w:rsidRPr="00A12D5C" w:rsidRDefault="00FE2BCD" w:rsidP="005254D1">
    <w:pPr>
      <w:pStyle w:val="Glava"/>
      <w:tabs>
        <w:tab w:val="clear" w:pos="4320"/>
        <w:tab w:val="clear" w:pos="8640"/>
        <w:tab w:val="left" w:pos="5112"/>
      </w:tabs>
      <w:spacing w:before="120" w:line="240" w:lineRule="exact"/>
      <w:rPr>
        <w:rFonts w:ascii="Republika" w:hAnsi="Republika"/>
        <w:caps/>
        <w:lang w:val="sl-SI"/>
      </w:rPr>
    </w:pPr>
    <w:r>
      <w:rPr>
        <w:rFonts w:ascii="Republika" w:hAnsi="Republika"/>
        <w:lang w:val="sl-SI"/>
      </w:rPr>
      <w:t>Generalni finančni urad</w:t>
    </w:r>
  </w:p>
  <w:p w14:paraId="32150900" w14:textId="77777777" w:rsidR="005254D1" w:rsidRPr="008F3500" w:rsidRDefault="00FE2BCD" w:rsidP="005254D1">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6C0716D2" w14:textId="77777777" w:rsidR="005254D1" w:rsidRPr="008F3500" w:rsidRDefault="00FE2BCD"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67035D9D" w14:textId="77777777" w:rsidR="005254D1" w:rsidRPr="008F3500" w:rsidRDefault="00FE2BCD" w:rsidP="005254D1">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072B3C76" w14:textId="77777777" w:rsidR="000B0B21" w:rsidRPr="008F3500" w:rsidRDefault="000B0B21"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5CD1"/>
    <w:multiLevelType w:val="hybridMultilevel"/>
    <w:tmpl w:val="2D24329E"/>
    <w:lvl w:ilvl="0" w:tplc="622C85D2">
      <w:start w:val="1"/>
      <w:numFmt w:val="decimal"/>
      <w:lvlText w:val="%1."/>
      <w:lvlJc w:val="left"/>
      <w:pPr>
        <w:tabs>
          <w:tab w:val="num" w:pos="1080"/>
        </w:tabs>
        <w:ind w:left="1080" w:hanging="360"/>
      </w:pPr>
      <w:rPr>
        <w:rFonts w:hint="default"/>
      </w:rPr>
    </w:lvl>
    <w:lvl w:ilvl="1" w:tplc="3AAA063C" w:tentative="1">
      <w:start w:val="1"/>
      <w:numFmt w:val="lowerLetter"/>
      <w:lvlText w:val="%2."/>
      <w:lvlJc w:val="left"/>
      <w:pPr>
        <w:ind w:left="1800" w:hanging="360"/>
      </w:pPr>
    </w:lvl>
    <w:lvl w:ilvl="2" w:tplc="7AB2662A" w:tentative="1">
      <w:start w:val="1"/>
      <w:numFmt w:val="lowerRoman"/>
      <w:lvlText w:val="%3."/>
      <w:lvlJc w:val="right"/>
      <w:pPr>
        <w:ind w:left="2520" w:hanging="180"/>
      </w:pPr>
    </w:lvl>
    <w:lvl w:ilvl="3" w:tplc="F46C663A" w:tentative="1">
      <w:start w:val="1"/>
      <w:numFmt w:val="decimal"/>
      <w:lvlText w:val="%4."/>
      <w:lvlJc w:val="left"/>
      <w:pPr>
        <w:ind w:left="3240" w:hanging="360"/>
      </w:pPr>
    </w:lvl>
    <w:lvl w:ilvl="4" w:tplc="1F322DA4" w:tentative="1">
      <w:start w:val="1"/>
      <w:numFmt w:val="lowerLetter"/>
      <w:lvlText w:val="%5."/>
      <w:lvlJc w:val="left"/>
      <w:pPr>
        <w:ind w:left="3960" w:hanging="360"/>
      </w:pPr>
    </w:lvl>
    <w:lvl w:ilvl="5" w:tplc="36B0760A" w:tentative="1">
      <w:start w:val="1"/>
      <w:numFmt w:val="lowerRoman"/>
      <w:lvlText w:val="%6."/>
      <w:lvlJc w:val="right"/>
      <w:pPr>
        <w:ind w:left="4680" w:hanging="180"/>
      </w:pPr>
    </w:lvl>
    <w:lvl w:ilvl="6" w:tplc="C212E7E4" w:tentative="1">
      <w:start w:val="1"/>
      <w:numFmt w:val="decimal"/>
      <w:lvlText w:val="%7."/>
      <w:lvlJc w:val="left"/>
      <w:pPr>
        <w:ind w:left="5400" w:hanging="360"/>
      </w:pPr>
    </w:lvl>
    <w:lvl w:ilvl="7" w:tplc="AAD40BE6" w:tentative="1">
      <w:start w:val="1"/>
      <w:numFmt w:val="lowerLetter"/>
      <w:lvlText w:val="%8."/>
      <w:lvlJc w:val="left"/>
      <w:pPr>
        <w:ind w:left="6120" w:hanging="360"/>
      </w:pPr>
    </w:lvl>
    <w:lvl w:ilvl="8" w:tplc="CD502DEC" w:tentative="1">
      <w:start w:val="1"/>
      <w:numFmt w:val="lowerRoman"/>
      <w:lvlText w:val="%9."/>
      <w:lvlJc w:val="right"/>
      <w:pPr>
        <w:ind w:left="6840" w:hanging="180"/>
      </w:pPr>
    </w:lvl>
  </w:abstractNum>
  <w:abstractNum w:abstractNumId="1">
    <w:nsid w:val="15185C12"/>
    <w:multiLevelType w:val="hybridMultilevel"/>
    <w:tmpl w:val="BF06C40C"/>
    <w:lvl w:ilvl="0" w:tplc="0630E1B0">
      <w:start w:val="1"/>
      <w:numFmt w:val="decimal"/>
      <w:lvlText w:val="%1."/>
      <w:lvlJc w:val="left"/>
      <w:pPr>
        <w:tabs>
          <w:tab w:val="num" w:pos="360"/>
        </w:tabs>
        <w:ind w:left="360" w:hanging="360"/>
      </w:pPr>
      <w:rPr>
        <w:rFonts w:hint="default"/>
      </w:rPr>
    </w:lvl>
    <w:lvl w:ilvl="1" w:tplc="DF24F912" w:tentative="1">
      <w:start w:val="1"/>
      <w:numFmt w:val="lowerLetter"/>
      <w:lvlText w:val="%2."/>
      <w:lvlJc w:val="left"/>
      <w:pPr>
        <w:ind w:left="1080" w:hanging="360"/>
      </w:pPr>
    </w:lvl>
    <w:lvl w:ilvl="2" w:tplc="AB124C0E" w:tentative="1">
      <w:start w:val="1"/>
      <w:numFmt w:val="lowerRoman"/>
      <w:lvlText w:val="%3."/>
      <w:lvlJc w:val="right"/>
      <w:pPr>
        <w:ind w:left="1800" w:hanging="180"/>
      </w:pPr>
    </w:lvl>
    <w:lvl w:ilvl="3" w:tplc="105CF4C6" w:tentative="1">
      <w:start w:val="1"/>
      <w:numFmt w:val="decimal"/>
      <w:lvlText w:val="%4."/>
      <w:lvlJc w:val="left"/>
      <w:pPr>
        <w:ind w:left="2520" w:hanging="360"/>
      </w:pPr>
    </w:lvl>
    <w:lvl w:ilvl="4" w:tplc="EEACF602" w:tentative="1">
      <w:start w:val="1"/>
      <w:numFmt w:val="lowerLetter"/>
      <w:lvlText w:val="%5."/>
      <w:lvlJc w:val="left"/>
      <w:pPr>
        <w:ind w:left="3240" w:hanging="360"/>
      </w:pPr>
    </w:lvl>
    <w:lvl w:ilvl="5" w:tplc="449CA4EE" w:tentative="1">
      <w:start w:val="1"/>
      <w:numFmt w:val="lowerRoman"/>
      <w:lvlText w:val="%6."/>
      <w:lvlJc w:val="right"/>
      <w:pPr>
        <w:ind w:left="3960" w:hanging="180"/>
      </w:pPr>
    </w:lvl>
    <w:lvl w:ilvl="6" w:tplc="CE88C21E" w:tentative="1">
      <w:start w:val="1"/>
      <w:numFmt w:val="decimal"/>
      <w:lvlText w:val="%7."/>
      <w:lvlJc w:val="left"/>
      <w:pPr>
        <w:ind w:left="4680" w:hanging="360"/>
      </w:pPr>
    </w:lvl>
    <w:lvl w:ilvl="7" w:tplc="909C3E0E" w:tentative="1">
      <w:start w:val="1"/>
      <w:numFmt w:val="lowerLetter"/>
      <w:lvlText w:val="%8."/>
      <w:lvlJc w:val="left"/>
      <w:pPr>
        <w:ind w:left="5400" w:hanging="360"/>
      </w:pPr>
    </w:lvl>
    <w:lvl w:ilvl="8" w:tplc="1D3830B4" w:tentative="1">
      <w:start w:val="1"/>
      <w:numFmt w:val="lowerRoman"/>
      <w:lvlText w:val="%9."/>
      <w:lvlJc w:val="right"/>
      <w:pPr>
        <w:ind w:left="6120" w:hanging="180"/>
      </w:pPr>
    </w:lvl>
  </w:abstractNum>
  <w:abstractNum w:abstractNumId="2">
    <w:nsid w:val="2D072372"/>
    <w:multiLevelType w:val="hybridMultilevel"/>
    <w:tmpl w:val="94FE8146"/>
    <w:lvl w:ilvl="0" w:tplc="85908FAA">
      <w:start w:val="1"/>
      <w:numFmt w:val="decimal"/>
      <w:lvlText w:val="%1."/>
      <w:lvlJc w:val="left"/>
      <w:pPr>
        <w:tabs>
          <w:tab w:val="num" w:pos="720"/>
        </w:tabs>
        <w:ind w:left="720" w:hanging="360"/>
      </w:pPr>
      <w:rPr>
        <w:rFonts w:hint="default"/>
      </w:rPr>
    </w:lvl>
    <w:lvl w:ilvl="1" w:tplc="FDD67E04" w:tentative="1">
      <w:start w:val="1"/>
      <w:numFmt w:val="lowerLetter"/>
      <w:lvlText w:val="%2."/>
      <w:lvlJc w:val="left"/>
      <w:pPr>
        <w:tabs>
          <w:tab w:val="num" w:pos="1440"/>
        </w:tabs>
        <w:ind w:left="1440" w:hanging="360"/>
      </w:pPr>
    </w:lvl>
    <w:lvl w:ilvl="2" w:tplc="BEB24CF2" w:tentative="1">
      <w:start w:val="1"/>
      <w:numFmt w:val="lowerRoman"/>
      <w:lvlText w:val="%3."/>
      <w:lvlJc w:val="right"/>
      <w:pPr>
        <w:tabs>
          <w:tab w:val="num" w:pos="2160"/>
        </w:tabs>
        <w:ind w:left="2160" w:hanging="180"/>
      </w:pPr>
    </w:lvl>
    <w:lvl w:ilvl="3" w:tplc="50ECEE9C" w:tentative="1">
      <w:start w:val="1"/>
      <w:numFmt w:val="decimal"/>
      <w:lvlText w:val="%4."/>
      <w:lvlJc w:val="left"/>
      <w:pPr>
        <w:tabs>
          <w:tab w:val="num" w:pos="2880"/>
        </w:tabs>
        <w:ind w:left="2880" w:hanging="360"/>
      </w:pPr>
    </w:lvl>
    <w:lvl w:ilvl="4" w:tplc="66FE9DCC" w:tentative="1">
      <w:start w:val="1"/>
      <w:numFmt w:val="lowerLetter"/>
      <w:lvlText w:val="%5."/>
      <w:lvlJc w:val="left"/>
      <w:pPr>
        <w:tabs>
          <w:tab w:val="num" w:pos="3600"/>
        </w:tabs>
        <w:ind w:left="3600" w:hanging="360"/>
      </w:pPr>
    </w:lvl>
    <w:lvl w:ilvl="5" w:tplc="2AC87FA2" w:tentative="1">
      <w:start w:val="1"/>
      <w:numFmt w:val="lowerRoman"/>
      <w:lvlText w:val="%6."/>
      <w:lvlJc w:val="right"/>
      <w:pPr>
        <w:tabs>
          <w:tab w:val="num" w:pos="4320"/>
        </w:tabs>
        <w:ind w:left="4320" w:hanging="180"/>
      </w:pPr>
    </w:lvl>
    <w:lvl w:ilvl="6" w:tplc="E2740476" w:tentative="1">
      <w:start w:val="1"/>
      <w:numFmt w:val="decimal"/>
      <w:lvlText w:val="%7."/>
      <w:lvlJc w:val="left"/>
      <w:pPr>
        <w:tabs>
          <w:tab w:val="num" w:pos="5040"/>
        </w:tabs>
        <w:ind w:left="5040" w:hanging="360"/>
      </w:pPr>
    </w:lvl>
    <w:lvl w:ilvl="7" w:tplc="A314E4E6" w:tentative="1">
      <w:start w:val="1"/>
      <w:numFmt w:val="lowerLetter"/>
      <w:lvlText w:val="%8."/>
      <w:lvlJc w:val="left"/>
      <w:pPr>
        <w:tabs>
          <w:tab w:val="num" w:pos="5760"/>
        </w:tabs>
        <w:ind w:left="5760" w:hanging="360"/>
      </w:pPr>
    </w:lvl>
    <w:lvl w:ilvl="8" w:tplc="FD263BD8" w:tentative="1">
      <w:start w:val="1"/>
      <w:numFmt w:val="lowerRoman"/>
      <w:lvlText w:val="%9."/>
      <w:lvlJc w:val="right"/>
      <w:pPr>
        <w:tabs>
          <w:tab w:val="num" w:pos="6480"/>
        </w:tabs>
        <w:ind w:left="6480" w:hanging="180"/>
      </w:pPr>
    </w:lvl>
  </w:abstractNum>
  <w:abstractNum w:abstractNumId="3">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AB849DA"/>
    <w:multiLevelType w:val="hybridMultilevel"/>
    <w:tmpl w:val="FB28BD96"/>
    <w:lvl w:ilvl="0" w:tplc="579C8D72">
      <w:start w:val="55"/>
      <w:numFmt w:val="bullet"/>
      <w:lvlText w:val="-"/>
      <w:lvlJc w:val="left"/>
      <w:pPr>
        <w:ind w:left="720" w:hanging="360"/>
      </w:pPr>
      <w:rPr>
        <w:rFonts w:ascii="Arial" w:eastAsia="Times New Roman" w:hAnsi="Arial" w:cs="Arial" w:hint="default"/>
      </w:rPr>
    </w:lvl>
    <w:lvl w:ilvl="1" w:tplc="CBAE464A" w:tentative="1">
      <w:start w:val="1"/>
      <w:numFmt w:val="bullet"/>
      <w:lvlText w:val="o"/>
      <w:lvlJc w:val="left"/>
      <w:pPr>
        <w:ind w:left="1440" w:hanging="360"/>
      </w:pPr>
      <w:rPr>
        <w:rFonts w:ascii="Courier New" w:hAnsi="Courier New" w:cs="Courier New" w:hint="default"/>
      </w:rPr>
    </w:lvl>
    <w:lvl w:ilvl="2" w:tplc="FE489EB6" w:tentative="1">
      <w:start w:val="1"/>
      <w:numFmt w:val="bullet"/>
      <w:lvlText w:val=""/>
      <w:lvlJc w:val="left"/>
      <w:pPr>
        <w:ind w:left="2160" w:hanging="360"/>
      </w:pPr>
      <w:rPr>
        <w:rFonts w:ascii="Wingdings" w:hAnsi="Wingdings" w:hint="default"/>
      </w:rPr>
    </w:lvl>
    <w:lvl w:ilvl="3" w:tplc="4D923E84" w:tentative="1">
      <w:start w:val="1"/>
      <w:numFmt w:val="bullet"/>
      <w:lvlText w:val=""/>
      <w:lvlJc w:val="left"/>
      <w:pPr>
        <w:ind w:left="2880" w:hanging="360"/>
      </w:pPr>
      <w:rPr>
        <w:rFonts w:ascii="Symbol" w:hAnsi="Symbol" w:hint="default"/>
      </w:rPr>
    </w:lvl>
    <w:lvl w:ilvl="4" w:tplc="B74A40F8" w:tentative="1">
      <w:start w:val="1"/>
      <w:numFmt w:val="bullet"/>
      <w:lvlText w:val="o"/>
      <w:lvlJc w:val="left"/>
      <w:pPr>
        <w:ind w:left="3600" w:hanging="360"/>
      </w:pPr>
      <w:rPr>
        <w:rFonts w:ascii="Courier New" w:hAnsi="Courier New" w:cs="Courier New" w:hint="default"/>
      </w:rPr>
    </w:lvl>
    <w:lvl w:ilvl="5" w:tplc="CB74B73A" w:tentative="1">
      <w:start w:val="1"/>
      <w:numFmt w:val="bullet"/>
      <w:lvlText w:val=""/>
      <w:lvlJc w:val="left"/>
      <w:pPr>
        <w:ind w:left="4320" w:hanging="360"/>
      </w:pPr>
      <w:rPr>
        <w:rFonts w:ascii="Wingdings" w:hAnsi="Wingdings" w:hint="default"/>
      </w:rPr>
    </w:lvl>
    <w:lvl w:ilvl="6" w:tplc="B7E68714" w:tentative="1">
      <w:start w:val="1"/>
      <w:numFmt w:val="bullet"/>
      <w:lvlText w:val=""/>
      <w:lvlJc w:val="left"/>
      <w:pPr>
        <w:ind w:left="5040" w:hanging="360"/>
      </w:pPr>
      <w:rPr>
        <w:rFonts w:ascii="Symbol" w:hAnsi="Symbol" w:hint="default"/>
      </w:rPr>
    </w:lvl>
    <w:lvl w:ilvl="7" w:tplc="AB2AD684" w:tentative="1">
      <w:start w:val="1"/>
      <w:numFmt w:val="bullet"/>
      <w:lvlText w:val="o"/>
      <w:lvlJc w:val="left"/>
      <w:pPr>
        <w:ind w:left="5760" w:hanging="360"/>
      </w:pPr>
      <w:rPr>
        <w:rFonts w:ascii="Courier New" w:hAnsi="Courier New" w:cs="Courier New" w:hint="default"/>
      </w:rPr>
    </w:lvl>
    <w:lvl w:ilvl="8" w:tplc="0BBA5592" w:tentative="1">
      <w:start w:val="1"/>
      <w:numFmt w:val="bullet"/>
      <w:lvlText w:val=""/>
      <w:lvlJc w:val="left"/>
      <w:pPr>
        <w:ind w:left="6480" w:hanging="360"/>
      </w:pPr>
      <w:rPr>
        <w:rFonts w:ascii="Wingdings" w:hAnsi="Wingdings" w:hint="default"/>
      </w:rPr>
    </w:lvl>
  </w:abstractNum>
  <w:abstractNum w:abstractNumId="5">
    <w:nsid w:val="63AA4C44"/>
    <w:multiLevelType w:val="hybridMultilevel"/>
    <w:tmpl w:val="092E92F6"/>
    <w:lvl w:ilvl="0" w:tplc="5C62B566">
      <w:start w:val="1"/>
      <w:numFmt w:val="decimal"/>
      <w:lvlText w:val="%1."/>
      <w:lvlJc w:val="left"/>
      <w:pPr>
        <w:tabs>
          <w:tab w:val="num" w:pos="720"/>
        </w:tabs>
        <w:ind w:left="720" w:hanging="360"/>
      </w:pPr>
    </w:lvl>
    <w:lvl w:ilvl="1" w:tplc="B7A24E2C" w:tentative="1">
      <w:start w:val="1"/>
      <w:numFmt w:val="lowerLetter"/>
      <w:lvlText w:val="%2."/>
      <w:lvlJc w:val="left"/>
      <w:pPr>
        <w:tabs>
          <w:tab w:val="num" w:pos="1440"/>
        </w:tabs>
        <w:ind w:left="1440" w:hanging="360"/>
      </w:pPr>
    </w:lvl>
    <w:lvl w:ilvl="2" w:tplc="5FB04436" w:tentative="1">
      <w:start w:val="1"/>
      <w:numFmt w:val="lowerRoman"/>
      <w:lvlText w:val="%3."/>
      <w:lvlJc w:val="right"/>
      <w:pPr>
        <w:tabs>
          <w:tab w:val="num" w:pos="2160"/>
        </w:tabs>
        <w:ind w:left="2160" w:hanging="180"/>
      </w:pPr>
    </w:lvl>
    <w:lvl w:ilvl="3" w:tplc="29DEAB46" w:tentative="1">
      <w:start w:val="1"/>
      <w:numFmt w:val="decimal"/>
      <w:lvlText w:val="%4."/>
      <w:lvlJc w:val="left"/>
      <w:pPr>
        <w:tabs>
          <w:tab w:val="num" w:pos="2880"/>
        </w:tabs>
        <w:ind w:left="2880" w:hanging="360"/>
      </w:pPr>
    </w:lvl>
    <w:lvl w:ilvl="4" w:tplc="344251E6" w:tentative="1">
      <w:start w:val="1"/>
      <w:numFmt w:val="lowerLetter"/>
      <w:lvlText w:val="%5."/>
      <w:lvlJc w:val="left"/>
      <w:pPr>
        <w:tabs>
          <w:tab w:val="num" w:pos="3600"/>
        </w:tabs>
        <w:ind w:left="3600" w:hanging="360"/>
      </w:pPr>
    </w:lvl>
    <w:lvl w:ilvl="5" w:tplc="7AB02B12" w:tentative="1">
      <w:start w:val="1"/>
      <w:numFmt w:val="lowerRoman"/>
      <w:lvlText w:val="%6."/>
      <w:lvlJc w:val="right"/>
      <w:pPr>
        <w:tabs>
          <w:tab w:val="num" w:pos="4320"/>
        </w:tabs>
        <w:ind w:left="4320" w:hanging="180"/>
      </w:pPr>
    </w:lvl>
    <w:lvl w:ilvl="6" w:tplc="CE400BA8" w:tentative="1">
      <w:start w:val="1"/>
      <w:numFmt w:val="decimal"/>
      <w:lvlText w:val="%7."/>
      <w:lvlJc w:val="left"/>
      <w:pPr>
        <w:tabs>
          <w:tab w:val="num" w:pos="5040"/>
        </w:tabs>
        <w:ind w:left="5040" w:hanging="360"/>
      </w:pPr>
    </w:lvl>
    <w:lvl w:ilvl="7" w:tplc="7312DD28" w:tentative="1">
      <w:start w:val="1"/>
      <w:numFmt w:val="lowerLetter"/>
      <w:lvlText w:val="%8."/>
      <w:lvlJc w:val="left"/>
      <w:pPr>
        <w:tabs>
          <w:tab w:val="num" w:pos="5760"/>
        </w:tabs>
        <w:ind w:left="5760" w:hanging="360"/>
      </w:pPr>
    </w:lvl>
    <w:lvl w:ilvl="8" w:tplc="C1381C9C"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38"/>
    <w:rsid w:val="000063FF"/>
    <w:rsid w:val="000206AE"/>
    <w:rsid w:val="00023A88"/>
    <w:rsid w:val="000636E1"/>
    <w:rsid w:val="0008352D"/>
    <w:rsid w:val="000A07CE"/>
    <w:rsid w:val="000A2C92"/>
    <w:rsid w:val="000A7238"/>
    <w:rsid w:val="000B0B21"/>
    <w:rsid w:val="000D08A9"/>
    <w:rsid w:val="000F3D38"/>
    <w:rsid w:val="00110CBD"/>
    <w:rsid w:val="001357B2"/>
    <w:rsid w:val="00151388"/>
    <w:rsid w:val="00151872"/>
    <w:rsid w:val="00160E5F"/>
    <w:rsid w:val="0018513A"/>
    <w:rsid w:val="001A3BA5"/>
    <w:rsid w:val="001A4296"/>
    <w:rsid w:val="001F3B21"/>
    <w:rsid w:val="001F5C0F"/>
    <w:rsid w:val="001F7BC0"/>
    <w:rsid w:val="00202A77"/>
    <w:rsid w:val="00232E47"/>
    <w:rsid w:val="00261D99"/>
    <w:rsid w:val="00262960"/>
    <w:rsid w:val="00271CE5"/>
    <w:rsid w:val="00282020"/>
    <w:rsid w:val="00282A2F"/>
    <w:rsid w:val="00285890"/>
    <w:rsid w:val="002934F1"/>
    <w:rsid w:val="0029548D"/>
    <w:rsid w:val="00296C34"/>
    <w:rsid w:val="00296D93"/>
    <w:rsid w:val="00297F27"/>
    <w:rsid w:val="002A4B44"/>
    <w:rsid w:val="002C7EEB"/>
    <w:rsid w:val="00304726"/>
    <w:rsid w:val="00315D82"/>
    <w:rsid w:val="00337A09"/>
    <w:rsid w:val="00352109"/>
    <w:rsid w:val="003636BF"/>
    <w:rsid w:val="00370AA7"/>
    <w:rsid w:val="00371034"/>
    <w:rsid w:val="0037479F"/>
    <w:rsid w:val="00377950"/>
    <w:rsid w:val="003828AD"/>
    <w:rsid w:val="003845B4"/>
    <w:rsid w:val="00387B1A"/>
    <w:rsid w:val="0039207B"/>
    <w:rsid w:val="003B5CF4"/>
    <w:rsid w:val="003C3B1D"/>
    <w:rsid w:val="003D0306"/>
    <w:rsid w:val="003E1C74"/>
    <w:rsid w:val="003E7E9E"/>
    <w:rsid w:val="003F4966"/>
    <w:rsid w:val="00421207"/>
    <w:rsid w:val="00484A06"/>
    <w:rsid w:val="004A2490"/>
    <w:rsid w:val="004A4233"/>
    <w:rsid w:val="004A6A59"/>
    <w:rsid w:val="004B160E"/>
    <w:rsid w:val="004C355D"/>
    <w:rsid w:val="005149DF"/>
    <w:rsid w:val="005254D1"/>
    <w:rsid w:val="00525C18"/>
    <w:rsid w:val="00526246"/>
    <w:rsid w:val="0055206D"/>
    <w:rsid w:val="00560EFB"/>
    <w:rsid w:val="00567106"/>
    <w:rsid w:val="005709F2"/>
    <w:rsid w:val="005916E5"/>
    <w:rsid w:val="005B0438"/>
    <w:rsid w:val="005E1D3C"/>
    <w:rsid w:val="005F3597"/>
    <w:rsid w:val="006268BE"/>
    <w:rsid w:val="00632253"/>
    <w:rsid w:val="00642714"/>
    <w:rsid w:val="00643C4E"/>
    <w:rsid w:val="006455CE"/>
    <w:rsid w:val="00646E9F"/>
    <w:rsid w:val="006D0D37"/>
    <w:rsid w:val="006D42D9"/>
    <w:rsid w:val="006F142E"/>
    <w:rsid w:val="00726463"/>
    <w:rsid w:val="00733017"/>
    <w:rsid w:val="00751D38"/>
    <w:rsid w:val="00762542"/>
    <w:rsid w:val="00763CE2"/>
    <w:rsid w:val="00775FED"/>
    <w:rsid w:val="00783310"/>
    <w:rsid w:val="00794B95"/>
    <w:rsid w:val="00794E63"/>
    <w:rsid w:val="007A4A6D"/>
    <w:rsid w:val="007B0217"/>
    <w:rsid w:val="007D1BCF"/>
    <w:rsid w:val="007D75CF"/>
    <w:rsid w:val="007E6DC5"/>
    <w:rsid w:val="0088043C"/>
    <w:rsid w:val="008906C9"/>
    <w:rsid w:val="008A5918"/>
    <w:rsid w:val="008B2E72"/>
    <w:rsid w:val="008C00F2"/>
    <w:rsid w:val="008C5738"/>
    <w:rsid w:val="008D04F0"/>
    <w:rsid w:val="008E2D84"/>
    <w:rsid w:val="008F3500"/>
    <w:rsid w:val="008F5C11"/>
    <w:rsid w:val="009022B3"/>
    <w:rsid w:val="00907CC2"/>
    <w:rsid w:val="00924E3C"/>
    <w:rsid w:val="00925A8B"/>
    <w:rsid w:val="0094292D"/>
    <w:rsid w:val="009612BB"/>
    <w:rsid w:val="009B0295"/>
    <w:rsid w:val="009C5340"/>
    <w:rsid w:val="009E42F2"/>
    <w:rsid w:val="00A05DC7"/>
    <w:rsid w:val="00A125C5"/>
    <w:rsid w:val="00A12D5C"/>
    <w:rsid w:val="00A216AF"/>
    <w:rsid w:val="00A3267F"/>
    <w:rsid w:val="00A36906"/>
    <w:rsid w:val="00A45EAF"/>
    <w:rsid w:val="00A5039D"/>
    <w:rsid w:val="00A65EE7"/>
    <w:rsid w:val="00A70133"/>
    <w:rsid w:val="00A72510"/>
    <w:rsid w:val="00AA47FE"/>
    <w:rsid w:val="00AC05DE"/>
    <w:rsid w:val="00AC5C16"/>
    <w:rsid w:val="00AD5A5B"/>
    <w:rsid w:val="00AE1792"/>
    <w:rsid w:val="00B011EA"/>
    <w:rsid w:val="00B17141"/>
    <w:rsid w:val="00B31575"/>
    <w:rsid w:val="00B63BD4"/>
    <w:rsid w:val="00B653A6"/>
    <w:rsid w:val="00B677B6"/>
    <w:rsid w:val="00B71596"/>
    <w:rsid w:val="00B8296A"/>
    <w:rsid w:val="00B8547D"/>
    <w:rsid w:val="00BC2517"/>
    <w:rsid w:val="00BC61EF"/>
    <w:rsid w:val="00BE423F"/>
    <w:rsid w:val="00C250D5"/>
    <w:rsid w:val="00C47F8D"/>
    <w:rsid w:val="00C52DAE"/>
    <w:rsid w:val="00C57EED"/>
    <w:rsid w:val="00C73B18"/>
    <w:rsid w:val="00C81391"/>
    <w:rsid w:val="00C92898"/>
    <w:rsid w:val="00C97222"/>
    <w:rsid w:val="00CA28CB"/>
    <w:rsid w:val="00CE7514"/>
    <w:rsid w:val="00D248DE"/>
    <w:rsid w:val="00D25427"/>
    <w:rsid w:val="00D31B74"/>
    <w:rsid w:val="00D3564D"/>
    <w:rsid w:val="00D45E0A"/>
    <w:rsid w:val="00D72E63"/>
    <w:rsid w:val="00D8542D"/>
    <w:rsid w:val="00DB11E1"/>
    <w:rsid w:val="00DB4E6F"/>
    <w:rsid w:val="00DC62F6"/>
    <w:rsid w:val="00DC6A71"/>
    <w:rsid w:val="00DD6CC3"/>
    <w:rsid w:val="00DE5B46"/>
    <w:rsid w:val="00E0357D"/>
    <w:rsid w:val="00E06D49"/>
    <w:rsid w:val="00E245FA"/>
    <w:rsid w:val="00E24EC2"/>
    <w:rsid w:val="00E51C0F"/>
    <w:rsid w:val="00E77F25"/>
    <w:rsid w:val="00E8201C"/>
    <w:rsid w:val="00E94ECF"/>
    <w:rsid w:val="00EB009E"/>
    <w:rsid w:val="00ED00D1"/>
    <w:rsid w:val="00ED7E82"/>
    <w:rsid w:val="00EF3280"/>
    <w:rsid w:val="00F0025B"/>
    <w:rsid w:val="00F02E53"/>
    <w:rsid w:val="00F240BB"/>
    <w:rsid w:val="00F42CE8"/>
    <w:rsid w:val="00F46724"/>
    <w:rsid w:val="00F47F58"/>
    <w:rsid w:val="00F57FED"/>
    <w:rsid w:val="00F87B6C"/>
    <w:rsid w:val="00FD746A"/>
    <w:rsid w:val="00FE2BCD"/>
    <w:rsid w:val="00FE6E1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F08C19"/>
  <w15:docId w15:val="{5EE8D243-0E36-4C3E-B588-B3615CCC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9E42F2"/>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E42F2"/>
    <w:rPr>
      <w:rFonts w:ascii="Tahoma" w:hAnsi="Tahoma" w:cs="Tahoma"/>
      <w:sz w:val="16"/>
      <w:szCs w:val="16"/>
      <w:lang w:val="en-US" w:eastAsia="en-US"/>
    </w:rPr>
  </w:style>
  <w:style w:type="paragraph" w:styleId="Golobesedilo">
    <w:name w:val="Plain Text"/>
    <w:basedOn w:val="Navaden"/>
    <w:link w:val="GolobesediloZnak"/>
    <w:rsid w:val="0055206D"/>
    <w:pPr>
      <w:spacing w:after="120" w:line="240" w:lineRule="auto"/>
      <w:ind w:right="-284"/>
      <w:jc w:val="both"/>
    </w:pPr>
    <w:rPr>
      <w:rFonts w:ascii="Courier New" w:hAnsi="Courier New" w:cs="Arial"/>
      <w:szCs w:val="22"/>
      <w:lang w:val="sl-SI" w:eastAsia="sl-SI"/>
    </w:rPr>
  </w:style>
  <w:style w:type="character" w:customStyle="1" w:styleId="GolobesediloZnak">
    <w:name w:val="Golo besedilo Znak"/>
    <w:basedOn w:val="Privzetapisavaodstavka"/>
    <w:link w:val="Golobesedilo"/>
    <w:rsid w:val="0055206D"/>
    <w:rPr>
      <w:rFonts w:ascii="Courier New" w:hAnsi="Courier New" w:cs="Arial"/>
      <w:szCs w:val="22"/>
    </w:rPr>
  </w:style>
  <w:style w:type="character" w:styleId="Krepko">
    <w:name w:val="Strong"/>
    <w:basedOn w:val="Privzetapisavaodstavka"/>
    <w:uiPriority w:val="22"/>
    <w:qFormat/>
    <w:rsid w:val="0055206D"/>
    <w:rPr>
      <w:b/>
      <w:bCs/>
    </w:rPr>
  </w:style>
  <w:style w:type="character" w:customStyle="1" w:styleId="Nerazreenaomemba1">
    <w:name w:val="Nerazrešena omemba1"/>
    <w:basedOn w:val="Privzetapisavaodstavka"/>
    <w:rsid w:val="00E245FA"/>
    <w:rPr>
      <w:color w:val="605E5C"/>
      <w:shd w:val="clear" w:color="auto" w:fill="E1DFDD"/>
    </w:rPr>
  </w:style>
  <w:style w:type="paragraph" w:styleId="Odstavekseznama">
    <w:name w:val="List Paragraph"/>
    <w:basedOn w:val="Navaden"/>
    <w:uiPriority w:val="34"/>
    <w:qFormat/>
    <w:rsid w:val="007B02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isrs.si/Pis.web/pregledPredpisa?id=ZAKO468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radni-list.si/glasilo-uradni-list-rs/vsebina/2021-01-3354?sop=2021-01-3354"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i\!Odd.%20za%20financiranje\FURS\Informacijska%20tehnologija\Dokumentni%20sistem\Predloge%20dokumentov\GFU%20DT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24F73-0A80-4006-9539-49C9517C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 DT1</Template>
  <TotalTime>0</TotalTime>
  <Pages>2</Pages>
  <Words>818</Words>
  <Characters>4664</Characters>
  <Application>Microsoft Office Word</Application>
  <DocSecurity>0</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 </vt:lpstr>
    </vt:vector>
  </TitlesOfParts>
  <Company>Davčna Uprava RS</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Tomaž Lavrič</dc:creator>
  <cp:lastModifiedBy>Windows User</cp:lastModifiedBy>
  <cp:revision>2</cp:revision>
  <cp:lastPrinted>2010-07-05T10:38:00Z</cp:lastPrinted>
  <dcterms:created xsi:type="dcterms:W3CDTF">2023-04-03T07:31:00Z</dcterms:created>
  <dcterms:modified xsi:type="dcterms:W3CDTF">2023-04-03T07:31:00Z</dcterms:modified>
</cp:coreProperties>
</file>