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7014" w14:textId="77777777" w:rsidR="00887E1E" w:rsidRDefault="00887E1E" w:rsidP="00CA699D">
      <w:pPr>
        <w:pStyle w:val="datumtevilka"/>
        <w:jc w:val="center"/>
      </w:pPr>
    </w:p>
    <w:p w14:paraId="5CE47EFD" w14:textId="77777777" w:rsidR="00887E1E" w:rsidRDefault="00887E1E" w:rsidP="00CA699D">
      <w:pPr>
        <w:pStyle w:val="datumtevilka"/>
        <w:jc w:val="center"/>
      </w:pPr>
    </w:p>
    <w:p w14:paraId="44E893F0" w14:textId="77777777" w:rsidR="00F825FF" w:rsidRDefault="00F825FF" w:rsidP="00CA699D">
      <w:pPr>
        <w:pStyle w:val="datumtevilka"/>
        <w:jc w:val="center"/>
      </w:pPr>
    </w:p>
    <w:p w14:paraId="29804AD6" w14:textId="77777777" w:rsidR="00F825FF" w:rsidRDefault="00F825FF" w:rsidP="00CA699D">
      <w:pPr>
        <w:pStyle w:val="datumtevilka"/>
        <w:jc w:val="center"/>
      </w:pPr>
    </w:p>
    <w:p w14:paraId="39C3B5C1" w14:textId="77777777" w:rsidR="00F825FF" w:rsidRDefault="00F825FF" w:rsidP="00CA699D">
      <w:pPr>
        <w:pStyle w:val="datumtevilka"/>
        <w:jc w:val="center"/>
      </w:pPr>
    </w:p>
    <w:p w14:paraId="242087EE" w14:textId="77777777" w:rsidR="00F825FF" w:rsidRDefault="00F825FF" w:rsidP="00CA699D">
      <w:pPr>
        <w:pStyle w:val="datumtevilka"/>
        <w:jc w:val="center"/>
      </w:pPr>
    </w:p>
    <w:p w14:paraId="0F0B6EA2" w14:textId="77777777" w:rsidR="00887E1E" w:rsidRDefault="00887E1E" w:rsidP="00CA699D">
      <w:pPr>
        <w:pStyle w:val="datumtevilka"/>
        <w:jc w:val="center"/>
      </w:pPr>
    </w:p>
    <w:p w14:paraId="0672D3A3" w14:textId="0C1749CD" w:rsidR="00AB1A6F" w:rsidRDefault="00893C9B" w:rsidP="00E636F2">
      <w:pPr>
        <w:spacing w:line="240" w:lineRule="auto"/>
        <w:jc w:val="center"/>
        <w:rPr>
          <w:b/>
          <w:sz w:val="32"/>
          <w:szCs w:val="32"/>
          <w:lang w:val="sl-SI"/>
        </w:rPr>
      </w:pPr>
      <w:r>
        <w:rPr>
          <w:b/>
          <w:sz w:val="32"/>
          <w:szCs w:val="32"/>
          <w:lang w:val="sl-SI"/>
        </w:rPr>
        <w:t>POSEBNA UREDITEV ZA MALE DAVČNE ZAVEZANCE</w:t>
      </w:r>
      <w:r w:rsidR="00CD0690">
        <w:rPr>
          <w:b/>
          <w:sz w:val="32"/>
          <w:szCs w:val="32"/>
          <w:lang w:val="sl-SI"/>
        </w:rPr>
        <w:t xml:space="preserve"> </w:t>
      </w:r>
      <w:r w:rsidR="00F65056">
        <w:rPr>
          <w:b/>
          <w:sz w:val="32"/>
          <w:szCs w:val="32"/>
          <w:lang w:val="sl-SI"/>
        </w:rPr>
        <w:t>(</w:t>
      </w:r>
      <w:r w:rsidR="00AB1A6F">
        <w:rPr>
          <w:b/>
          <w:sz w:val="32"/>
          <w:szCs w:val="32"/>
          <w:lang w:val="sl-SI"/>
        </w:rPr>
        <w:t xml:space="preserve">SME </w:t>
      </w:r>
      <w:r w:rsidR="00CD0690">
        <w:rPr>
          <w:b/>
          <w:sz w:val="32"/>
          <w:szCs w:val="32"/>
          <w:lang w:val="sl-SI"/>
        </w:rPr>
        <w:t>UREDITEV</w:t>
      </w:r>
      <w:r w:rsidR="00F65056">
        <w:rPr>
          <w:b/>
          <w:sz w:val="32"/>
          <w:szCs w:val="32"/>
          <w:lang w:val="sl-SI"/>
        </w:rPr>
        <w:t>)</w:t>
      </w:r>
    </w:p>
    <w:p w14:paraId="0D9D7AAF" w14:textId="77777777" w:rsidR="00E853E8" w:rsidRPr="00E853E8" w:rsidRDefault="00E853E8" w:rsidP="00E853E8">
      <w:pPr>
        <w:pStyle w:val="datumtevilka"/>
        <w:jc w:val="center"/>
        <w:rPr>
          <w:b/>
          <w:sz w:val="32"/>
          <w:szCs w:val="32"/>
        </w:rPr>
      </w:pPr>
    </w:p>
    <w:p w14:paraId="6D783814" w14:textId="77777777" w:rsidR="00887E1E" w:rsidRDefault="00887E1E" w:rsidP="00E853E8">
      <w:pPr>
        <w:pStyle w:val="datumtevilka"/>
        <w:jc w:val="center"/>
      </w:pPr>
    </w:p>
    <w:p w14:paraId="380C536C" w14:textId="77777777" w:rsidR="00E853E8" w:rsidRDefault="00E853E8" w:rsidP="00E853E8">
      <w:pPr>
        <w:pStyle w:val="datumtevilka"/>
        <w:jc w:val="center"/>
      </w:pPr>
    </w:p>
    <w:p w14:paraId="4BE92F53" w14:textId="77777777" w:rsidR="00E853E8" w:rsidRDefault="00E853E8" w:rsidP="00E853E8">
      <w:pPr>
        <w:pStyle w:val="datumtevilka"/>
        <w:jc w:val="center"/>
      </w:pPr>
    </w:p>
    <w:p w14:paraId="4BC95BDE" w14:textId="77777777" w:rsidR="00E853E8" w:rsidRDefault="00E853E8" w:rsidP="00E853E8">
      <w:pPr>
        <w:pStyle w:val="datumtevilka"/>
        <w:jc w:val="center"/>
      </w:pPr>
    </w:p>
    <w:p w14:paraId="06D62FE4" w14:textId="77777777" w:rsidR="00887E1E" w:rsidRDefault="00887E1E" w:rsidP="00E853E8">
      <w:pPr>
        <w:pStyle w:val="datumtevilka"/>
        <w:jc w:val="center"/>
      </w:pPr>
    </w:p>
    <w:p w14:paraId="61F7E1F1" w14:textId="77777777" w:rsidR="00F825FF" w:rsidRPr="00E853E8" w:rsidRDefault="00E853E8" w:rsidP="00E853E8">
      <w:pPr>
        <w:pStyle w:val="datumtevil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</w:t>
      </w:r>
      <w:r w:rsidR="001C2D67">
        <w:rPr>
          <w:b/>
          <w:sz w:val="28"/>
          <w:szCs w:val="28"/>
        </w:rPr>
        <w:t>drobnejši opis</w:t>
      </w:r>
    </w:p>
    <w:p w14:paraId="7DA3C984" w14:textId="77777777" w:rsidR="00F825FF" w:rsidRDefault="00F825FF" w:rsidP="00E853E8">
      <w:pPr>
        <w:pStyle w:val="datumtevilka"/>
        <w:jc w:val="center"/>
      </w:pPr>
    </w:p>
    <w:p w14:paraId="0F76CD89" w14:textId="77777777" w:rsidR="00F825FF" w:rsidRDefault="00F825FF" w:rsidP="00CA699D">
      <w:pPr>
        <w:pStyle w:val="datumtevilka"/>
        <w:jc w:val="center"/>
      </w:pPr>
    </w:p>
    <w:p w14:paraId="5BB7A88E" w14:textId="77777777" w:rsidR="00F825FF" w:rsidRDefault="00F825FF" w:rsidP="00CA699D">
      <w:pPr>
        <w:pStyle w:val="datumtevilka"/>
        <w:jc w:val="center"/>
      </w:pPr>
    </w:p>
    <w:p w14:paraId="2FCA3ABC" w14:textId="77777777" w:rsidR="00F825FF" w:rsidRDefault="00F825FF" w:rsidP="00CA699D">
      <w:pPr>
        <w:pStyle w:val="datumtevilka"/>
        <w:jc w:val="center"/>
      </w:pPr>
    </w:p>
    <w:p w14:paraId="7C3C0E64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7011933" w14:textId="77777777" w:rsidR="00F825FF" w:rsidRDefault="00F825FF" w:rsidP="00CA699D">
      <w:pPr>
        <w:pStyle w:val="podpisi"/>
        <w:jc w:val="center"/>
        <w:rPr>
          <w:lang w:val="sl-SI"/>
        </w:rPr>
      </w:pPr>
    </w:p>
    <w:p w14:paraId="70309191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124D51ED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3B4CBA74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0999C751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6B80135D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B73C5AE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13737776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FBA95C6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4410B7B4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50644803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322B69D7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46883346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7223D9EC" w14:textId="77777777" w:rsidR="00E853E8" w:rsidRDefault="00E853E8" w:rsidP="00CA699D">
      <w:pPr>
        <w:pStyle w:val="podpisi"/>
        <w:jc w:val="center"/>
        <w:rPr>
          <w:lang w:val="sl-SI"/>
        </w:rPr>
      </w:pPr>
    </w:p>
    <w:p w14:paraId="646C163D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19E0465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461B4F30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20B9BCA1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10863E50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09114407" w14:textId="77777777" w:rsidR="00887E1E" w:rsidRDefault="00887E1E" w:rsidP="00CA699D">
      <w:pPr>
        <w:pStyle w:val="podpisi"/>
        <w:jc w:val="center"/>
        <w:rPr>
          <w:lang w:val="sl-SI"/>
        </w:rPr>
      </w:pPr>
    </w:p>
    <w:p w14:paraId="766B8686" w14:textId="5981D5BC" w:rsidR="00CA699D" w:rsidRPr="007D42FC" w:rsidRDefault="00D1353F" w:rsidP="00D1353F">
      <w:pPr>
        <w:pStyle w:val="podpisi"/>
        <w:rPr>
          <w:b/>
          <w:sz w:val="28"/>
          <w:lang w:val="sl-SI"/>
        </w:rPr>
      </w:pPr>
      <w:r>
        <w:rPr>
          <w:b/>
          <w:sz w:val="28"/>
          <w:lang w:val="sl-SI"/>
        </w:rPr>
        <w:tab/>
      </w:r>
      <w:r w:rsidR="007D42FC" w:rsidRPr="007D42FC">
        <w:rPr>
          <w:b/>
          <w:sz w:val="28"/>
          <w:lang w:val="sl-SI"/>
        </w:rPr>
        <w:t xml:space="preserve">NOVEMBER </w:t>
      </w:r>
      <w:r w:rsidR="00C90583" w:rsidRPr="007D42FC">
        <w:rPr>
          <w:b/>
          <w:sz w:val="28"/>
          <w:lang w:val="sl-SI"/>
        </w:rPr>
        <w:t>202</w:t>
      </w:r>
      <w:r w:rsidR="00E46CCE" w:rsidRPr="007D42FC">
        <w:rPr>
          <w:b/>
          <w:sz w:val="28"/>
          <w:lang w:val="sl-SI"/>
        </w:rPr>
        <w:t>4</w:t>
      </w:r>
    </w:p>
    <w:p w14:paraId="1614B58C" w14:textId="77777777" w:rsidR="00DA2C9A" w:rsidRPr="00E636F2" w:rsidRDefault="00CA699D" w:rsidP="009541F3">
      <w:pPr>
        <w:rPr>
          <w:b/>
          <w:sz w:val="24"/>
          <w:lang w:val="sl-SI"/>
        </w:rPr>
      </w:pPr>
      <w:r w:rsidRPr="00E636F2">
        <w:rPr>
          <w:sz w:val="28"/>
          <w:lang w:val="sl-SI"/>
        </w:rPr>
        <w:br w:type="page"/>
      </w:r>
      <w:r w:rsidR="00DA2C9A" w:rsidRPr="00E636F2">
        <w:rPr>
          <w:b/>
          <w:sz w:val="24"/>
          <w:lang w:val="sl-SI"/>
        </w:rPr>
        <w:lastRenderedPageBreak/>
        <w:t>K</w:t>
      </w:r>
      <w:r w:rsidR="000C203D" w:rsidRPr="00E636F2">
        <w:rPr>
          <w:b/>
          <w:sz w:val="24"/>
          <w:lang w:val="sl-SI"/>
        </w:rPr>
        <w:t>AZALO</w:t>
      </w:r>
    </w:p>
    <w:p w14:paraId="338580DF" w14:textId="77777777" w:rsidR="00DA2C9A" w:rsidRPr="00E636F2" w:rsidRDefault="00DA2C9A" w:rsidP="009541F3">
      <w:pPr>
        <w:rPr>
          <w:b/>
          <w:sz w:val="24"/>
          <w:lang w:val="sl-SI"/>
        </w:rPr>
      </w:pPr>
    </w:p>
    <w:p w14:paraId="76822F11" w14:textId="6EC73C7D" w:rsidR="00E8683A" w:rsidRDefault="00F079C5">
      <w:pPr>
        <w:pStyle w:val="Kazalovsebine1"/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TOC \h \z \t "FURS_naslov_1;1;FURS_naslov_2;2" </w:instrText>
      </w:r>
      <w:r>
        <w:rPr>
          <w:b/>
          <w:sz w:val="28"/>
        </w:rPr>
        <w:fldChar w:fldCharType="separate"/>
      </w:r>
      <w:hyperlink w:anchor="_Toc182823577" w:history="1">
        <w:r w:rsidR="00E8683A" w:rsidRPr="006826D4">
          <w:rPr>
            <w:rStyle w:val="Hiperpovezava"/>
            <w:noProof/>
          </w:rPr>
          <w:t>1.0      PRAVNE PODLAGE IN KORISTNE POVEZAVE</w:t>
        </w:r>
        <w:r w:rsidR="00E8683A">
          <w:rPr>
            <w:noProof/>
            <w:webHidden/>
          </w:rPr>
          <w:tab/>
        </w:r>
        <w:r w:rsidR="00E8683A">
          <w:rPr>
            <w:noProof/>
            <w:webHidden/>
          </w:rPr>
          <w:fldChar w:fldCharType="begin"/>
        </w:r>
        <w:r w:rsidR="00E8683A">
          <w:rPr>
            <w:noProof/>
            <w:webHidden/>
          </w:rPr>
          <w:instrText xml:space="preserve"> PAGEREF _Toc182823577 \h </w:instrText>
        </w:r>
        <w:r w:rsidR="00E8683A">
          <w:rPr>
            <w:noProof/>
            <w:webHidden/>
          </w:rPr>
        </w:r>
        <w:r w:rsidR="00E8683A">
          <w:rPr>
            <w:noProof/>
            <w:webHidden/>
          </w:rPr>
          <w:fldChar w:fldCharType="separate"/>
        </w:r>
        <w:r w:rsidR="00E8683A">
          <w:rPr>
            <w:noProof/>
            <w:webHidden/>
          </w:rPr>
          <w:t>3</w:t>
        </w:r>
        <w:r w:rsidR="00E8683A">
          <w:rPr>
            <w:noProof/>
            <w:webHidden/>
          </w:rPr>
          <w:fldChar w:fldCharType="end"/>
        </w:r>
      </w:hyperlink>
    </w:p>
    <w:p w14:paraId="7B54A0F3" w14:textId="2C434926" w:rsidR="00E8683A" w:rsidRDefault="00E36AC3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82823578" w:history="1">
        <w:r w:rsidR="00E8683A" w:rsidRPr="006826D4">
          <w:rPr>
            <w:rStyle w:val="Hiperpovezava"/>
            <w:noProof/>
          </w:rPr>
          <w:t>1.1 Pravne podlage</w:t>
        </w:r>
        <w:r w:rsidR="00E8683A">
          <w:rPr>
            <w:noProof/>
            <w:webHidden/>
          </w:rPr>
          <w:tab/>
        </w:r>
        <w:r w:rsidR="00E8683A">
          <w:rPr>
            <w:noProof/>
            <w:webHidden/>
          </w:rPr>
          <w:fldChar w:fldCharType="begin"/>
        </w:r>
        <w:r w:rsidR="00E8683A">
          <w:rPr>
            <w:noProof/>
            <w:webHidden/>
          </w:rPr>
          <w:instrText xml:space="preserve"> PAGEREF _Toc182823578 \h </w:instrText>
        </w:r>
        <w:r w:rsidR="00E8683A">
          <w:rPr>
            <w:noProof/>
            <w:webHidden/>
          </w:rPr>
        </w:r>
        <w:r w:rsidR="00E8683A">
          <w:rPr>
            <w:noProof/>
            <w:webHidden/>
          </w:rPr>
          <w:fldChar w:fldCharType="separate"/>
        </w:r>
        <w:r w:rsidR="00E8683A">
          <w:rPr>
            <w:noProof/>
            <w:webHidden/>
          </w:rPr>
          <w:t>3</w:t>
        </w:r>
        <w:r w:rsidR="00E8683A">
          <w:rPr>
            <w:noProof/>
            <w:webHidden/>
          </w:rPr>
          <w:fldChar w:fldCharType="end"/>
        </w:r>
      </w:hyperlink>
    </w:p>
    <w:p w14:paraId="78AF7B31" w14:textId="61519969" w:rsidR="00E8683A" w:rsidRDefault="00E36AC3">
      <w:pPr>
        <w:pStyle w:val="Kazalovsebine2"/>
        <w:rPr>
          <w:rFonts w:asciiTheme="minorHAnsi" w:eastAsiaTheme="minorEastAsia" w:hAnsiTheme="minorHAnsi" w:cstheme="minorBidi"/>
          <w:noProof/>
        </w:rPr>
      </w:pPr>
      <w:hyperlink w:anchor="_Toc182823579" w:history="1">
        <w:r w:rsidR="00E8683A" w:rsidRPr="006826D4">
          <w:rPr>
            <w:rStyle w:val="Hiperpovezava"/>
            <w:noProof/>
          </w:rPr>
          <w:t>1.2 Koristne povezave</w:t>
        </w:r>
        <w:r w:rsidR="00E8683A">
          <w:rPr>
            <w:noProof/>
            <w:webHidden/>
          </w:rPr>
          <w:tab/>
        </w:r>
        <w:r w:rsidR="00E8683A">
          <w:rPr>
            <w:noProof/>
            <w:webHidden/>
          </w:rPr>
          <w:fldChar w:fldCharType="begin"/>
        </w:r>
        <w:r w:rsidR="00E8683A">
          <w:rPr>
            <w:noProof/>
            <w:webHidden/>
          </w:rPr>
          <w:instrText xml:space="preserve"> PAGEREF _Toc182823579 \h </w:instrText>
        </w:r>
        <w:r w:rsidR="00E8683A">
          <w:rPr>
            <w:noProof/>
            <w:webHidden/>
          </w:rPr>
        </w:r>
        <w:r w:rsidR="00E8683A">
          <w:rPr>
            <w:noProof/>
            <w:webHidden/>
          </w:rPr>
          <w:fldChar w:fldCharType="separate"/>
        </w:r>
        <w:r w:rsidR="00E8683A">
          <w:rPr>
            <w:noProof/>
            <w:webHidden/>
          </w:rPr>
          <w:t>3</w:t>
        </w:r>
        <w:r w:rsidR="00E8683A">
          <w:rPr>
            <w:noProof/>
            <w:webHidden/>
          </w:rPr>
          <w:fldChar w:fldCharType="end"/>
        </w:r>
      </w:hyperlink>
    </w:p>
    <w:p w14:paraId="7F15FCCF" w14:textId="2CB82DB0" w:rsidR="00E8683A" w:rsidRDefault="00E36AC3">
      <w:pPr>
        <w:pStyle w:val="Kazalovsebine1"/>
        <w:tabs>
          <w:tab w:val="left" w:pos="880"/>
        </w:tabs>
        <w:rPr>
          <w:rFonts w:asciiTheme="minorHAnsi" w:eastAsiaTheme="minorEastAsia" w:hAnsiTheme="minorHAnsi" w:cstheme="minorBidi"/>
          <w:noProof/>
          <w:sz w:val="22"/>
          <w:szCs w:val="22"/>
          <w:lang w:val="sl-SI" w:eastAsia="sl-SI"/>
        </w:rPr>
      </w:pPr>
      <w:hyperlink w:anchor="_Toc182823580" w:history="1">
        <w:r w:rsidR="00E8683A" w:rsidRPr="006826D4">
          <w:rPr>
            <w:rStyle w:val="Hiperpovezava"/>
            <w:noProof/>
          </w:rPr>
          <w:t>2.0</w:t>
        </w:r>
        <w:r w:rsidR="00E8683A">
          <w:rPr>
            <w:rFonts w:asciiTheme="minorHAnsi" w:eastAsiaTheme="minorEastAsia" w:hAnsiTheme="minorHAnsi" w:cstheme="minorBidi"/>
            <w:noProof/>
            <w:sz w:val="22"/>
            <w:szCs w:val="22"/>
            <w:lang w:val="sl-SI" w:eastAsia="sl-SI"/>
          </w:rPr>
          <w:tab/>
        </w:r>
        <w:r w:rsidR="00E8683A" w:rsidRPr="006826D4">
          <w:rPr>
            <w:rStyle w:val="Hiperpovezava"/>
            <w:noProof/>
          </w:rPr>
          <w:t>SPLOŠNO O SME UREDITVI</w:t>
        </w:r>
        <w:r w:rsidR="00E8683A">
          <w:rPr>
            <w:noProof/>
            <w:webHidden/>
          </w:rPr>
          <w:tab/>
        </w:r>
        <w:r w:rsidR="00E8683A">
          <w:rPr>
            <w:noProof/>
            <w:webHidden/>
          </w:rPr>
          <w:fldChar w:fldCharType="begin"/>
        </w:r>
        <w:r w:rsidR="00E8683A">
          <w:rPr>
            <w:noProof/>
            <w:webHidden/>
          </w:rPr>
          <w:instrText xml:space="preserve"> PAGEREF _Toc182823580 \h </w:instrText>
        </w:r>
        <w:r w:rsidR="00E8683A">
          <w:rPr>
            <w:noProof/>
            <w:webHidden/>
          </w:rPr>
        </w:r>
        <w:r w:rsidR="00E8683A">
          <w:rPr>
            <w:noProof/>
            <w:webHidden/>
          </w:rPr>
          <w:fldChar w:fldCharType="separate"/>
        </w:r>
        <w:r w:rsidR="00E8683A">
          <w:rPr>
            <w:noProof/>
            <w:webHidden/>
          </w:rPr>
          <w:t>3</w:t>
        </w:r>
        <w:r w:rsidR="00E8683A">
          <w:rPr>
            <w:noProof/>
            <w:webHidden/>
          </w:rPr>
          <w:fldChar w:fldCharType="end"/>
        </w:r>
      </w:hyperlink>
    </w:p>
    <w:p w14:paraId="6D98C653" w14:textId="297365D1" w:rsidR="00887E1E" w:rsidRDefault="00F079C5" w:rsidP="00E57198">
      <w:pPr>
        <w:pStyle w:val="FURSnaslov1"/>
      </w:pPr>
      <w:r>
        <w:rPr>
          <w:b w:val="0"/>
          <w:sz w:val="28"/>
          <w:lang w:val="en-US"/>
        </w:rPr>
        <w:fldChar w:fldCharType="end"/>
      </w:r>
      <w:r w:rsidR="00DA2C9A">
        <w:rPr>
          <w:sz w:val="28"/>
        </w:rPr>
        <w:br w:type="page"/>
      </w:r>
    </w:p>
    <w:p w14:paraId="60CF7AA7" w14:textId="291333B3" w:rsidR="00447FAE" w:rsidRPr="00E8683A" w:rsidRDefault="00116E23" w:rsidP="00B31ADF">
      <w:pPr>
        <w:pStyle w:val="FURSnaslov1"/>
      </w:pPr>
      <w:bookmarkStart w:id="0" w:name="_Toc182823577"/>
      <w:bookmarkStart w:id="1" w:name="_Hlk182813596"/>
      <w:r w:rsidRPr="00E8683A">
        <w:lastRenderedPageBreak/>
        <w:t xml:space="preserve">1.0    </w:t>
      </w:r>
      <w:r w:rsidR="00E8683A">
        <w:t xml:space="preserve">  </w:t>
      </w:r>
      <w:r w:rsidR="00B21C92" w:rsidRPr="00B31ADF">
        <w:t>P</w:t>
      </w:r>
      <w:r w:rsidR="00447FAE" w:rsidRPr="00B31ADF">
        <w:t xml:space="preserve">RAVNE PODLAGE </w:t>
      </w:r>
      <w:r w:rsidR="003C5106" w:rsidRPr="00E8683A">
        <w:t>IN KORISTNE POVEZAVE</w:t>
      </w:r>
      <w:bookmarkEnd w:id="0"/>
    </w:p>
    <w:p w14:paraId="039AC207" w14:textId="29FEC231" w:rsidR="00A35CA8" w:rsidRDefault="00A35CA8" w:rsidP="00A35CA8">
      <w:pPr>
        <w:pStyle w:val="FURSnaslov1"/>
      </w:pPr>
    </w:p>
    <w:p w14:paraId="27343A54" w14:textId="72CADE57" w:rsidR="003C5106" w:rsidRPr="003C5106" w:rsidRDefault="003C5106" w:rsidP="00B31ADF">
      <w:pPr>
        <w:pStyle w:val="FURSnaslov2"/>
      </w:pPr>
      <w:bookmarkStart w:id="2" w:name="_Toc182823578"/>
      <w:r>
        <w:t xml:space="preserve">1.1 </w:t>
      </w:r>
      <w:r w:rsidRPr="003C5106">
        <w:t>Pravne podlage</w:t>
      </w:r>
      <w:bookmarkEnd w:id="2"/>
    </w:p>
    <w:p w14:paraId="318C0950" w14:textId="77777777" w:rsidR="003C5106" w:rsidRDefault="003C5106" w:rsidP="00A35CA8">
      <w:pPr>
        <w:spacing w:line="260" w:lineRule="exact"/>
        <w:jc w:val="both"/>
        <w:rPr>
          <w:rFonts w:cs="Arial"/>
          <w:color w:val="000000" w:themeColor="text1"/>
          <w:szCs w:val="20"/>
          <w:lang w:val="sl-SI"/>
        </w:rPr>
      </w:pPr>
    </w:p>
    <w:p w14:paraId="26084242" w14:textId="0BAAC674" w:rsidR="00A35CA8" w:rsidRDefault="00A35CA8" w:rsidP="00A35CA8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300EDF">
        <w:rPr>
          <w:rFonts w:cs="Arial"/>
          <w:color w:val="000000" w:themeColor="text1"/>
          <w:szCs w:val="20"/>
          <w:lang w:val="sl-SI"/>
        </w:rPr>
        <w:t>Države članice morajo do 31. decembra 202</w:t>
      </w:r>
      <w:r>
        <w:rPr>
          <w:rFonts w:cs="Arial"/>
          <w:color w:val="000000" w:themeColor="text1"/>
          <w:szCs w:val="20"/>
          <w:lang w:val="sl-SI"/>
        </w:rPr>
        <w:t>4</w:t>
      </w:r>
      <w:r w:rsidRPr="00300EDF">
        <w:rPr>
          <w:rFonts w:cs="Arial"/>
          <w:color w:val="000000" w:themeColor="text1"/>
          <w:szCs w:val="20"/>
          <w:lang w:val="sl-SI"/>
        </w:rPr>
        <w:t xml:space="preserve"> sprejeti in objaviti zakone in druge predpise, potrebne za uskladitev </w:t>
      </w:r>
      <w:r w:rsidR="003C5106">
        <w:rPr>
          <w:rFonts w:cs="Arial"/>
          <w:color w:val="000000" w:themeColor="text1"/>
          <w:szCs w:val="20"/>
          <w:lang w:val="sl-SI"/>
        </w:rPr>
        <w:t xml:space="preserve">s spodaj navedeno </w:t>
      </w:r>
      <w:r>
        <w:rPr>
          <w:rFonts w:cs="Arial"/>
          <w:color w:val="000000" w:themeColor="text1"/>
          <w:szCs w:val="20"/>
          <w:lang w:val="sl-SI"/>
        </w:rPr>
        <w:t>direktivo</w:t>
      </w:r>
      <w:r w:rsidRPr="00300EDF">
        <w:rPr>
          <w:rFonts w:cs="Arial"/>
          <w:color w:val="000000" w:themeColor="text1"/>
          <w:szCs w:val="20"/>
          <w:lang w:val="sl-SI"/>
        </w:rPr>
        <w:t xml:space="preserve">. </w:t>
      </w:r>
      <w:r w:rsidRPr="00300EDF">
        <w:rPr>
          <w:rFonts w:cs="Arial"/>
          <w:color w:val="000000"/>
          <w:szCs w:val="20"/>
          <w:lang w:val="sl-SI" w:eastAsia="sl-SI"/>
        </w:rPr>
        <w:t xml:space="preserve">Nova pravila bodo začela veljati </w:t>
      </w:r>
      <w:r w:rsidRPr="00300EDF">
        <w:rPr>
          <w:rFonts w:cs="Arial"/>
          <w:color w:val="000000"/>
          <w:szCs w:val="20"/>
          <w:u w:val="single"/>
          <w:lang w:val="sl-SI" w:eastAsia="sl-SI"/>
        </w:rPr>
        <w:t>1. januarja 202</w:t>
      </w:r>
      <w:r>
        <w:rPr>
          <w:rFonts w:cs="Arial"/>
          <w:color w:val="000000"/>
          <w:szCs w:val="20"/>
          <w:u w:val="single"/>
          <w:lang w:val="sl-SI" w:eastAsia="sl-SI"/>
        </w:rPr>
        <w:t>5</w:t>
      </w:r>
      <w:r w:rsidRPr="00300EDF">
        <w:rPr>
          <w:rFonts w:cs="Arial"/>
          <w:color w:val="000000"/>
          <w:szCs w:val="20"/>
          <w:lang w:val="sl-SI" w:eastAsia="sl-SI"/>
        </w:rPr>
        <w:t xml:space="preserve">. </w:t>
      </w:r>
    </w:p>
    <w:p w14:paraId="631AA8EB" w14:textId="3561F718" w:rsidR="00A35CA8" w:rsidRDefault="00A35CA8" w:rsidP="00A35CA8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62E56965" w14:textId="19AA2B2C" w:rsidR="00A35CA8" w:rsidRPr="00B31ADF" w:rsidRDefault="00A35CA8" w:rsidP="00B31ADF">
      <w:pPr>
        <w:pStyle w:val="datumtevilka"/>
        <w:jc w:val="both"/>
        <w:rPr>
          <w:b/>
          <w:bCs/>
        </w:rPr>
      </w:pPr>
      <w:r w:rsidRPr="00B31ADF">
        <w:rPr>
          <w:b/>
          <w:bCs/>
        </w:rPr>
        <w:t xml:space="preserve">Določbe spodaj navedene </w:t>
      </w:r>
      <w:r w:rsidRPr="00B31ADF">
        <w:rPr>
          <w:rFonts w:cs="Arial"/>
          <w:b/>
          <w:bCs/>
        </w:rPr>
        <w:t>Direktiv</w:t>
      </w:r>
      <w:r w:rsidR="00184A53">
        <w:rPr>
          <w:rFonts w:cs="Arial"/>
          <w:b/>
          <w:bCs/>
        </w:rPr>
        <w:t>e</w:t>
      </w:r>
      <w:r w:rsidRPr="00B31ADF">
        <w:rPr>
          <w:rFonts w:cs="Arial"/>
          <w:b/>
          <w:bCs/>
        </w:rPr>
        <w:t xml:space="preserve"> Sveta 2006/112/ES</w:t>
      </w:r>
      <w:r w:rsidRPr="00B31ADF">
        <w:rPr>
          <w:b/>
          <w:bCs/>
        </w:rPr>
        <w:t xml:space="preserve"> še niso prenesene v slovensko zakonodajo, je pa v zakonodajnem postopku Predlog zakona o spremembah in dopolnitvah Zakona o davku na dodano vrednost (</w:t>
      </w:r>
      <w:r w:rsidR="006659FF">
        <w:rPr>
          <w:b/>
          <w:bCs/>
        </w:rPr>
        <w:t>n</w:t>
      </w:r>
      <w:r w:rsidRPr="00B31ADF">
        <w:rPr>
          <w:b/>
          <w:bCs/>
        </w:rPr>
        <w:t xml:space="preserve">ovela ZDDV-1O). </w:t>
      </w:r>
    </w:p>
    <w:bookmarkEnd w:id="1"/>
    <w:p w14:paraId="18FD616E" w14:textId="4180D50F" w:rsidR="00F2496D" w:rsidRPr="00300EDF" w:rsidRDefault="00F2496D" w:rsidP="00A35CA8">
      <w:pPr>
        <w:pStyle w:val="FURSnaslov1"/>
        <w:spacing w:line="260" w:lineRule="exact"/>
        <w:rPr>
          <w:rFonts w:cs="Arial"/>
          <w:sz w:val="20"/>
          <w:szCs w:val="20"/>
        </w:rPr>
      </w:pPr>
    </w:p>
    <w:p w14:paraId="5706FB12" w14:textId="28735758" w:rsidR="004561A8" w:rsidRDefault="004561A8" w:rsidP="00B31ADF">
      <w:pPr>
        <w:pStyle w:val="Navadensplet"/>
        <w:numPr>
          <w:ilvl w:val="0"/>
          <w:numId w:val="34"/>
        </w:numPr>
        <w:shd w:val="clear" w:color="auto" w:fill="FFFFFF"/>
        <w:spacing w:before="0" w:beforeAutospacing="0" w:after="0" w:afterAutospacing="0" w:line="260" w:lineRule="exact"/>
        <w:ind w:left="72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4561A8">
        <w:rPr>
          <w:rFonts w:ascii="Arial" w:hAnsi="Arial" w:cs="Arial"/>
          <w:bCs/>
          <w:sz w:val="20"/>
          <w:szCs w:val="20"/>
        </w:rPr>
        <w:t>Direktiva Sveta 2006/112/ES o skupnem sistemu davka na dodano vrednost, kakor je bila spremenjena</w:t>
      </w:r>
      <w:r>
        <w:rPr>
          <w:rFonts w:ascii="Arial" w:hAnsi="Arial" w:cs="Arial"/>
          <w:bCs/>
          <w:sz w:val="20"/>
          <w:szCs w:val="20"/>
        </w:rPr>
        <w:t xml:space="preserve"> z</w:t>
      </w:r>
      <w:r w:rsidR="00B21C92" w:rsidRPr="00735503">
        <w:rPr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B21C92" w:rsidRPr="00B21C92">
          <w:rPr>
            <w:rStyle w:val="Hiperpovezava"/>
            <w:rFonts w:ascii="Arial" w:eastAsia="Times New Roman" w:hAnsi="Arial" w:cs="Arial"/>
            <w:bCs/>
            <w:sz w:val="20"/>
            <w:szCs w:val="20"/>
          </w:rPr>
          <w:t>Direktivo Sveta (EU) 2020/285</w:t>
        </w:r>
      </w:hyperlink>
      <w:r w:rsidR="00B21C92" w:rsidRPr="00735503">
        <w:rPr>
          <w:rFonts w:ascii="Arial" w:eastAsia="Times New Roman" w:hAnsi="Arial" w:cs="Arial"/>
          <w:bCs/>
          <w:sz w:val="20"/>
          <w:szCs w:val="20"/>
        </w:rPr>
        <w:t xml:space="preserve"> o spremembi Direktive 2006/112/ES o skupnem sistemu davka na dodano vrednost glede posebne ureditve za mala podjetja</w:t>
      </w:r>
      <w:r w:rsidR="001801FC">
        <w:rPr>
          <w:rFonts w:ascii="Arial" w:eastAsia="Times New Roman" w:hAnsi="Arial" w:cs="Arial"/>
          <w:bCs/>
          <w:sz w:val="20"/>
          <w:szCs w:val="20"/>
        </w:rPr>
        <w:t xml:space="preserve"> in Uredbe (EU) št. 904/2010 glede upravnega sodelovanja in izmenjave informacij za namene spremljanja pravilne uporabe posebne ureditve za mala podjetja</w:t>
      </w:r>
      <w:r w:rsidR="00B21C92" w:rsidRPr="00735503">
        <w:rPr>
          <w:rFonts w:ascii="Arial" w:eastAsia="Times New Roman" w:hAnsi="Arial" w:cs="Arial"/>
          <w:bCs/>
          <w:sz w:val="20"/>
          <w:szCs w:val="20"/>
        </w:rPr>
        <w:t xml:space="preserve"> (direktiva)</w:t>
      </w:r>
      <w:r w:rsidR="006659FF">
        <w:rPr>
          <w:rFonts w:ascii="Arial" w:eastAsia="Times New Roman" w:hAnsi="Arial" w:cs="Arial"/>
          <w:bCs/>
          <w:sz w:val="20"/>
          <w:szCs w:val="20"/>
        </w:rPr>
        <w:t>;</w:t>
      </w:r>
      <w:r w:rsidR="00B21C92" w:rsidRPr="00735503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14:paraId="5F66A3E0" w14:textId="24EEC8B3" w:rsidR="00B21C92" w:rsidRDefault="00E36AC3" w:rsidP="00B31ADF">
      <w:pPr>
        <w:pStyle w:val="Navadensplet"/>
        <w:numPr>
          <w:ilvl w:val="0"/>
          <w:numId w:val="37"/>
        </w:numPr>
        <w:shd w:val="clear" w:color="auto" w:fill="FFFFFF"/>
        <w:spacing w:before="0" w:beforeAutospacing="0" w:after="0" w:afterAutospacing="0" w:line="26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  <w:hyperlink r:id="rId12" w:history="1">
        <w:r w:rsidR="00B21C92" w:rsidRPr="00B21C92">
          <w:rPr>
            <w:rStyle w:val="Hiperpovezava"/>
            <w:rFonts w:ascii="Arial" w:eastAsia="Times New Roman" w:hAnsi="Arial" w:cs="Arial"/>
            <w:bCs/>
            <w:sz w:val="20"/>
            <w:szCs w:val="20"/>
          </w:rPr>
          <w:t>Izvedbena uredba Komisije (EU) 2021/2007</w:t>
        </w:r>
      </w:hyperlink>
      <w:r w:rsidR="00B21C92" w:rsidRPr="00735503">
        <w:rPr>
          <w:rFonts w:ascii="Arial" w:eastAsia="Times New Roman" w:hAnsi="Arial" w:cs="Arial"/>
          <w:bCs/>
          <w:sz w:val="20"/>
          <w:szCs w:val="20"/>
        </w:rPr>
        <w:t xml:space="preserve"> o določitvi podrobnih pravil za uporabo Uredbe (EU) št. 904/2010 glede upravnega sodelovanja in izmenjave informacij za namene spremljanja pravilne uporabe posebne ureditve za mala podjetja (izvedbena uredba).</w:t>
      </w:r>
    </w:p>
    <w:p w14:paraId="4476F49A" w14:textId="25689387" w:rsidR="003C5106" w:rsidRDefault="003C5106" w:rsidP="003C5106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37F060FC" w14:textId="41FB1DC6" w:rsidR="003C5106" w:rsidRDefault="003C5106" w:rsidP="00B31ADF">
      <w:pPr>
        <w:pStyle w:val="FURSnaslov2"/>
      </w:pPr>
      <w:bookmarkStart w:id="3" w:name="_Toc182823579"/>
      <w:r>
        <w:t>1.2 Koristne povezave</w:t>
      </w:r>
      <w:bookmarkEnd w:id="3"/>
    </w:p>
    <w:p w14:paraId="59B20CBF" w14:textId="77777777" w:rsidR="003C5106" w:rsidRDefault="003C5106" w:rsidP="00B31ADF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083FBD5" w14:textId="5981B9B9" w:rsidR="00596D28" w:rsidRDefault="00596D28" w:rsidP="00B31ADF">
      <w:pPr>
        <w:pStyle w:val="Odstavekseznama"/>
        <w:numPr>
          <w:ilvl w:val="0"/>
          <w:numId w:val="34"/>
        </w:numPr>
        <w:tabs>
          <w:tab w:val="left" w:pos="2865"/>
        </w:tabs>
        <w:ind w:left="720"/>
        <w:jc w:val="both"/>
      </w:pPr>
      <w:r>
        <w:t>DDV pravila za mala podjetja – SME ureditev (</w:t>
      </w:r>
      <w:hyperlink r:id="rId13" w:history="1">
        <w:r w:rsidRPr="00596D28">
          <w:rPr>
            <w:rStyle w:val="Hiperpovezava"/>
          </w:rPr>
          <w:t xml:space="preserve">SME on </w:t>
        </w:r>
        <w:proofErr w:type="spellStart"/>
        <w:r w:rsidRPr="00596D28">
          <w:rPr>
            <w:rStyle w:val="Hiperpovezava"/>
          </w:rPr>
          <w:t>the</w:t>
        </w:r>
        <w:proofErr w:type="spellEnd"/>
        <w:r w:rsidRPr="00596D28">
          <w:rPr>
            <w:rStyle w:val="Hiperpovezava"/>
          </w:rPr>
          <w:t xml:space="preserve"> </w:t>
        </w:r>
        <w:proofErr w:type="spellStart"/>
        <w:r w:rsidRPr="00596D28">
          <w:rPr>
            <w:rStyle w:val="Hiperpovezava"/>
          </w:rPr>
          <w:t>web</w:t>
        </w:r>
        <w:proofErr w:type="spellEnd"/>
      </w:hyperlink>
      <w:r>
        <w:t>)</w:t>
      </w:r>
    </w:p>
    <w:p w14:paraId="6B652E42" w14:textId="2307E25E" w:rsidR="004561A8" w:rsidRDefault="00E36AC3" w:rsidP="00B31ADF">
      <w:pPr>
        <w:pStyle w:val="Odstavekseznama"/>
        <w:numPr>
          <w:ilvl w:val="0"/>
          <w:numId w:val="34"/>
        </w:numPr>
        <w:tabs>
          <w:tab w:val="left" w:pos="2865"/>
        </w:tabs>
        <w:ind w:left="720"/>
        <w:jc w:val="both"/>
      </w:pPr>
      <w:hyperlink r:id="rId14" w:history="1">
        <w:r w:rsidR="004561A8" w:rsidRPr="00F65056">
          <w:rPr>
            <w:rStyle w:val="Hiperpovezava"/>
            <w:rFonts w:ascii="Arial" w:hAnsi="Arial" w:cs="Arial"/>
            <w:sz w:val="20"/>
            <w:szCs w:val="20"/>
          </w:rPr>
          <w:t>Pojasnila glede spremembe posebne ureditve za mala podjetja</w:t>
        </w:r>
      </w:hyperlink>
      <w:r w:rsidR="004561A8">
        <w:rPr>
          <w:rStyle w:val="Hiperpovezava"/>
          <w:rFonts w:ascii="Arial" w:hAnsi="Arial" w:cs="Arial"/>
          <w:sz w:val="20"/>
          <w:szCs w:val="20"/>
        </w:rPr>
        <w:t xml:space="preserve"> (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Explanatory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Notes as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regards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the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special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scheme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for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small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enterprices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>)</w:t>
      </w:r>
      <w:r w:rsidR="004561A8">
        <w:t>,</w:t>
      </w:r>
    </w:p>
    <w:p w14:paraId="243F84D6" w14:textId="40CD8764" w:rsidR="004561A8" w:rsidRPr="00B31ADF" w:rsidRDefault="00E36AC3" w:rsidP="00B31ADF">
      <w:pPr>
        <w:pStyle w:val="Odstavekseznama"/>
        <w:numPr>
          <w:ilvl w:val="0"/>
          <w:numId w:val="34"/>
        </w:numPr>
        <w:tabs>
          <w:tab w:val="left" w:pos="2865"/>
        </w:tabs>
        <w:ind w:left="720"/>
        <w:jc w:val="both"/>
      </w:pPr>
      <w:hyperlink r:id="rId15" w:history="1">
        <w:r w:rsidR="004561A8" w:rsidRPr="00F65056">
          <w:rPr>
            <w:rStyle w:val="Hiperpovezava"/>
            <w:rFonts w:ascii="Arial" w:hAnsi="Arial" w:cs="Arial"/>
            <w:sz w:val="20"/>
            <w:szCs w:val="20"/>
          </w:rPr>
          <w:t>Priročnik o posebni ureditvi za mala podjetja</w:t>
        </w:r>
      </w:hyperlink>
      <w:r w:rsidR="004561A8">
        <w:rPr>
          <w:rStyle w:val="Hiperpovezava"/>
          <w:rFonts w:ascii="Arial" w:hAnsi="Arial" w:cs="Arial"/>
          <w:sz w:val="20"/>
          <w:szCs w:val="20"/>
        </w:rPr>
        <w:t xml:space="preserve"> (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Guide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to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the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 xml:space="preserve"> SME </w:t>
      </w:r>
      <w:proofErr w:type="spellStart"/>
      <w:r w:rsidR="004561A8">
        <w:rPr>
          <w:rStyle w:val="Hiperpovezava"/>
          <w:rFonts w:ascii="Arial" w:hAnsi="Arial" w:cs="Arial"/>
          <w:sz w:val="20"/>
          <w:szCs w:val="20"/>
        </w:rPr>
        <w:t>scheme</w:t>
      </w:r>
      <w:proofErr w:type="spellEnd"/>
      <w:r w:rsidR="004561A8">
        <w:rPr>
          <w:rStyle w:val="Hiperpovezava"/>
          <w:rFonts w:ascii="Arial" w:hAnsi="Arial" w:cs="Arial"/>
          <w:sz w:val="20"/>
          <w:szCs w:val="20"/>
        </w:rPr>
        <w:t>)</w:t>
      </w:r>
      <w:r w:rsidR="004561A8" w:rsidRPr="00B31ADF">
        <w:rPr>
          <w:rFonts w:ascii="Arial" w:hAnsi="Arial" w:cs="Arial"/>
          <w:sz w:val="20"/>
          <w:szCs w:val="20"/>
        </w:rPr>
        <w:t>.</w:t>
      </w:r>
    </w:p>
    <w:p w14:paraId="24EDC7B3" w14:textId="77777777" w:rsidR="00F65056" w:rsidRPr="00B31ADF" w:rsidRDefault="00F65056" w:rsidP="00B31ADF">
      <w:pPr>
        <w:tabs>
          <w:tab w:val="left" w:pos="2865"/>
        </w:tabs>
        <w:ind w:left="360"/>
        <w:jc w:val="both"/>
        <w:rPr>
          <w:rFonts w:eastAsia="Calibri"/>
        </w:rPr>
      </w:pPr>
    </w:p>
    <w:p w14:paraId="2A0688F6" w14:textId="17C76380" w:rsidR="00F65056" w:rsidRDefault="00116E23" w:rsidP="00B31ADF">
      <w:pPr>
        <w:pStyle w:val="FURSnaslov1"/>
        <w:numPr>
          <w:ilvl w:val="0"/>
          <w:numId w:val="36"/>
        </w:numPr>
        <w:jc w:val="both"/>
      </w:pPr>
      <w:r>
        <w:t xml:space="preserve"> </w:t>
      </w:r>
      <w:bookmarkStart w:id="4" w:name="_Toc182823580"/>
      <w:r w:rsidR="00F65056">
        <w:t>SPLOŠNO O SME UREDITVI</w:t>
      </w:r>
      <w:bookmarkEnd w:id="4"/>
    </w:p>
    <w:p w14:paraId="538310D9" w14:textId="77777777" w:rsidR="00F65056" w:rsidRPr="00F65056" w:rsidRDefault="00F65056" w:rsidP="00B31ADF">
      <w:pPr>
        <w:pStyle w:val="FURSnaslov1"/>
        <w:ind w:left="720"/>
        <w:jc w:val="both"/>
      </w:pPr>
    </w:p>
    <w:p w14:paraId="4A2FF13F" w14:textId="41AADDB1" w:rsidR="004D000B" w:rsidRDefault="00B21C92" w:rsidP="00B21C92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735503">
        <w:rPr>
          <w:rFonts w:ascii="Arial" w:eastAsia="Times New Roman" w:hAnsi="Arial" w:cs="Arial"/>
          <w:bCs/>
          <w:sz w:val="20"/>
          <w:szCs w:val="20"/>
        </w:rPr>
        <w:t xml:space="preserve">Namen direktive je uvedba poenostavitev za mala podjetja, ki poslujejo tudi v drugih državah članicah. Trenutna posebna ureditev za mala podjetja </w:t>
      </w:r>
      <w:r w:rsidRPr="00735503">
        <w:rPr>
          <w:rFonts w:ascii="Arial" w:hAnsi="Arial" w:cs="Arial"/>
          <w:sz w:val="20"/>
          <w:szCs w:val="20"/>
        </w:rPr>
        <w:t>dovoljuje le oprostitev podjetij, ki imajo sedež v državi članici, kjer je treba plačati DDV</w:t>
      </w:r>
      <w:r w:rsidR="005D007C">
        <w:rPr>
          <w:rFonts w:ascii="Arial" w:hAnsi="Arial" w:cs="Arial"/>
          <w:sz w:val="20"/>
          <w:szCs w:val="20"/>
        </w:rPr>
        <w:t xml:space="preserve"> (</w:t>
      </w:r>
      <w:r w:rsidR="00955154">
        <w:rPr>
          <w:rFonts w:ascii="Arial" w:hAnsi="Arial" w:cs="Arial"/>
          <w:sz w:val="20"/>
          <w:szCs w:val="20"/>
        </w:rPr>
        <w:t>v nadaljnjem besedilu: domača SME ureditev</w:t>
      </w:r>
      <w:r w:rsidR="005D007C">
        <w:rPr>
          <w:rFonts w:ascii="Arial" w:hAnsi="Arial" w:cs="Arial"/>
          <w:sz w:val="20"/>
          <w:szCs w:val="20"/>
        </w:rPr>
        <w:t>)</w:t>
      </w:r>
      <w:r w:rsidRPr="00735503">
        <w:rPr>
          <w:rFonts w:ascii="Arial" w:hAnsi="Arial" w:cs="Arial"/>
          <w:sz w:val="20"/>
          <w:szCs w:val="20"/>
        </w:rPr>
        <w:t xml:space="preserve">. </w:t>
      </w:r>
    </w:p>
    <w:p w14:paraId="77DDFF41" w14:textId="77777777" w:rsidR="004D000B" w:rsidRDefault="004D000B" w:rsidP="00B21C92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02C65DB0" w14:textId="4ABDA494" w:rsidR="007B6F6E" w:rsidRDefault="00B21C92" w:rsidP="00B21C92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735503">
        <w:rPr>
          <w:rFonts w:ascii="Arial" w:hAnsi="Arial" w:cs="Arial"/>
          <w:sz w:val="20"/>
          <w:szCs w:val="20"/>
        </w:rPr>
        <w:t>To negativno vpliva na konkurenčnost na notranjem trgu za podjetja, ki nimajo sedeža v tej državi članici, saj njihove dobave v tej državi članici niso oproščene plačila DDV. Da bi se to rešilo in da bi se izognili nadaljnjim izkrivljanjem, se z implementacijo sprememb direktive omogoči malim podjetjem, ki imajo sedež v državah članicah, ki niso tiste, v katerih je treba plačati DDV, da izkoristijo oprostitev</w:t>
      </w:r>
      <w:r w:rsidR="005D007C">
        <w:rPr>
          <w:rFonts w:ascii="Arial" w:hAnsi="Arial" w:cs="Arial"/>
          <w:sz w:val="20"/>
          <w:szCs w:val="20"/>
        </w:rPr>
        <w:t xml:space="preserve"> v drugi državi članici ali drugih državah članicah (</w:t>
      </w:r>
      <w:r w:rsidR="00CA25F2">
        <w:rPr>
          <w:rFonts w:ascii="Arial" w:hAnsi="Arial" w:cs="Arial"/>
          <w:sz w:val="20"/>
          <w:szCs w:val="20"/>
        </w:rPr>
        <w:t>v nadaljnjem besedilu: čezmejna SME ureditev</w:t>
      </w:r>
      <w:r w:rsidR="005D007C">
        <w:rPr>
          <w:rFonts w:ascii="Arial" w:hAnsi="Arial" w:cs="Arial"/>
          <w:sz w:val="20"/>
          <w:szCs w:val="20"/>
        </w:rPr>
        <w:t>)</w:t>
      </w:r>
      <w:r w:rsidRPr="00735503">
        <w:rPr>
          <w:rFonts w:ascii="Arial" w:hAnsi="Arial" w:cs="Arial"/>
          <w:sz w:val="20"/>
          <w:szCs w:val="20"/>
        </w:rPr>
        <w:t xml:space="preserve">. Gre za opcijsko posebno ureditev, ki jo mala podjetja uporabijo v določeni državi članici, kadar je njihov letni promet pod pragom, ki ga uporablja država članica, v kateri je treba plačati DDV. Države članice bodo </w:t>
      </w:r>
      <w:r w:rsidR="001801FC">
        <w:rPr>
          <w:rFonts w:ascii="Arial" w:hAnsi="Arial" w:cs="Arial"/>
          <w:sz w:val="20"/>
          <w:szCs w:val="20"/>
        </w:rPr>
        <w:t xml:space="preserve">za oprostitev obračunavanja DDV na njihovem ozemlju </w:t>
      </w:r>
      <w:r w:rsidRPr="00735503">
        <w:rPr>
          <w:rFonts w:ascii="Arial" w:hAnsi="Arial" w:cs="Arial"/>
          <w:sz w:val="20"/>
          <w:szCs w:val="20"/>
        </w:rPr>
        <w:t>lahko uporabljale več sektorskih pragov.</w:t>
      </w:r>
      <w:r w:rsidR="00912A4C">
        <w:rPr>
          <w:rFonts w:ascii="Arial" w:hAnsi="Arial" w:cs="Arial"/>
          <w:sz w:val="20"/>
          <w:szCs w:val="20"/>
        </w:rPr>
        <w:t xml:space="preserve"> Po direktivi velja omejitev za vse države članice, da nobeden od teh pragov ne sme preseči praga 85.000 evrov</w:t>
      </w:r>
      <w:r w:rsidR="00D942D2">
        <w:rPr>
          <w:rFonts w:ascii="Arial" w:hAnsi="Arial" w:cs="Arial"/>
          <w:sz w:val="20"/>
          <w:szCs w:val="20"/>
        </w:rPr>
        <w:t xml:space="preserve"> v tekočem koledarskem letu niti v preteklem koledarskem letu oziroma predpreteklem koledarskem letu, če država članica oprostitve tako zahteva.</w:t>
      </w:r>
      <w:r w:rsidRPr="00735503">
        <w:rPr>
          <w:rFonts w:ascii="Arial" w:hAnsi="Arial" w:cs="Arial"/>
          <w:sz w:val="20"/>
          <w:szCs w:val="20"/>
        </w:rPr>
        <w:t xml:space="preserve"> </w:t>
      </w:r>
      <w:r w:rsidR="00912A4C">
        <w:rPr>
          <w:rFonts w:ascii="Arial" w:hAnsi="Arial" w:cs="Arial"/>
          <w:sz w:val="20"/>
          <w:szCs w:val="20"/>
        </w:rPr>
        <w:t xml:space="preserve">Direktiva omogoča državam članicam tudi prehodno obdobje za davčne zavezance, ki že uporabljajo SME ureditev, </w:t>
      </w:r>
      <w:r w:rsidR="00435D2A">
        <w:rPr>
          <w:rFonts w:ascii="Arial" w:hAnsi="Arial" w:cs="Arial"/>
          <w:sz w:val="20"/>
          <w:szCs w:val="20"/>
        </w:rPr>
        <w:t xml:space="preserve">če tekom tekočega koledarskega leta presežejo nacionalni prag za oprostitev (za 10 %, 25 %, brez zgornje meje). V teh primerih lahko </w:t>
      </w:r>
      <w:r w:rsidR="00222A5C">
        <w:rPr>
          <w:rFonts w:ascii="Arial" w:hAnsi="Arial" w:cs="Arial"/>
          <w:sz w:val="20"/>
          <w:szCs w:val="20"/>
        </w:rPr>
        <w:t xml:space="preserve">davčni zavezanci </w:t>
      </w:r>
      <w:r w:rsidR="00435D2A">
        <w:rPr>
          <w:rFonts w:ascii="Arial" w:hAnsi="Arial" w:cs="Arial"/>
          <w:sz w:val="20"/>
          <w:szCs w:val="20"/>
        </w:rPr>
        <w:t xml:space="preserve">oprostitev uporabljajo do konca tekočega koledarskega leta, v naslednjem koledarskem letu pa morajo </w:t>
      </w:r>
      <w:r w:rsidR="006659FF">
        <w:rPr>
          <w:rFonts w:ascii="Arial" w:hAnsi="Arial" w:cs="Arial"/>
          <w:sz w:val="20"/>
          <w:szCs w:val="20"/>
        </w:rPr>
        <w:t xml:space="preserve">začeti </w:t>
      </w:r>
      <w:r w:rsidR="00435D2A">
        <w:rPr>
          <w:rFonts w:ascii="Arial" w:hAnsi="Arial" w:cs="Arial"/>
          <w:sz w:val="20"/>
          <w:szCs w:val="20"/>
        </w:rPr>
        <w:t>obračunavati DDV.</w:t>
      </w:r>
      <w:r w:rsidR="00912A4C">
        <w:rPr>
          <w:rFonts w:ascii="Arial" w:hAnsi="Arial" w:cs="Arial"/>
          <w:sz w:val="20"/>
          <w:szCs w:val="20"/>
        </w:rPr>
        <w:t xml:space="preserve"> </w:t>
      </w:r>
      <w:r w:rsidRPr="00735503">
        <w:rPr>
          <w:rFonts w:ascii="Arial" w:hAnsi="Arial" w:cs="Arial"/>
          <w:sz w:val="20"/>
          <w:szCs w:val="20"/>
        </w:rPr>
        <w:t>Davčni zavezanec lahko</w:t>
      </w:r>
      <w:r w:rsidR="00955154">
        <w:rPr>
          <w:rFonts w:ascii="Arial" w:hAnsi="Arial" w:cs="Arial"/>
          <w:sz w:val="20"/>
          <w:szCs w:val="20"/>
        </w:rPr>
        <w:t xml:space="preserve"> čezmejno SME </w:t>
      </w:r>
      <w:r w:rsidR="00955154">
        <w:rPr>
          <w:rFonts w:ascii="Arial" w:hAnsi="Arial" w:cs="Arial"/>
          <w:sz w:val="20"/>
          <w:szCs w:val="20"/>
        </w:rPr>
        <w:lastRenderedPageBreak/>
        <w:t>ureditev</w:t>
      </w:r>
      <w:r w:rsidRPr="00735503">
        <w:rPr>
          <w:rFonts w:ascii="Arial" w:hAnsi="Arial" w:cs="Arial"/>
          <w:sz w:val="20"/>
          <w:szCs w:val="20"/>
        </w:rPr>
        <w:t xml:space="preserve"> uporablja le, če njegov skupni letni promet v </w:t>
      </w:r>
      <w:r w:rsidR="00CA25F2">
        <w:rPr>
          <w:rFonts w:ascii="Arial" w:hAnsi="Arial" w:cs="Arial"/>
          <w:sz w:val="20"/>
          <w:szCs w:val="20"/>
        </w:rPr>
        <w:t>Uniji</w:t>
      </w:r>
      <w:r w:rsidR="00FC23BE">
        <w:rPr>
          <w:rFonts w:ascii="Arial" w:hAnsi="Arial" w:cs="Arial"/>
          <w:sz w:val="20"/>
          <w:szCs w:val="20"/>
        </w:rPr>
        <w:t xml:space="preserve"> </w:t>
      </w:r>
      <w:r w:rsidR="006659FF">
        <w:rPr>
          <w:rFonts w:ascii="Arial" w:hAnsi="Arial" w:cs="Arial"/>
          <w:sz w:val="20"/>
          <w:szCs w:val="20"/>
        </w:rPr>
        <w:t xml:space="preserve">niti </w:t>
      </w:r>
      <w:r w:rsidRPr="00735503">
        <w:rPr>
          <w:rFonts w:ascii="Arial" w:hAnsi="Arial" w:cs="Arial"/>
          <w:sz w:val="20"/>
          <w:szCs w:val="20"/>
        </w:rPr>
        <w:t xml:space="preserve"> </w:t>
      </w:r>
      <w:r w:rsidR="00FC23BE">
        <w:rPr>
          <w:rFonts w:ascii="Arial" w:hAnsi="Arial" w:cs="Arial"/>
          <w:sz w:val="20"/>
          <w:szCs w:val="20"/>
        </w:rPr>
        <w:t xml:space="preserve">v tekočem koledarskem letu niti v </w:t>
      </w:r>
      <w:r w:rsidR="00D942D2">
        <w:rPr>
          <w:rFonts w:ascii="Arial" w:hAnsi="Arial" w:cs="Arial"/>
          <w:sz w:val="20"/>
          <w:szCs w:val="20"/>
        </w:rPr>
        <w:t xml:space="preserve">preteklem koledarskem letu </w:t>
      </w:r>
      <w:r w:rsidR="006659FF" w:rsidRPr="00735503">
        <w:rPr>
          <w:rFonts w:ascii="Arial" w:hAnsi="Arial" w:cs="Arial"/>
          <w:sz w:val="20"/>
          <w:szCs w:val="20"/>
        </w:rPr>
        <w:t>n</w:t>
      </w:r>
      <w:r w:rsidR="006659FF">
        <w:rPr>
          <w:rFonts w:ascii="Arial" w:hAnsi="Arial" w:cs="Arial"/>
          <w:sz w:val="20"/>
          <w:szCs w:val="20"/>
        </w:rPr>
        <w:t>i</w:t>
      </w:r>
      <w:r w:rsidR="006659FF" w:rsidRPr="00735503">
        <w:rPr>
          <w:rFonts w:ascii="Arial" w:hAnsi="Arial" w:cs="Arial"/>
          <w:sz w:val="20"/>
          <w:szCs w:val="20"/>
        </w:rPr>
        <w:t xml:space="preserve"> presegel 100.000 eurov</w:t>
      </w:r>
      <w:r w:rsidR="006659FF">
        <w:rPr>
          <w:rFonts w:ascii="Arial" w:hAnsi="Arial" w:cs="Arial"/>
          <w:sz w:val="20"/>
          <w:szCs w:val="20"/>
        </w:rPr>
        <w:t xml:space="preserve"> </w:t>
      </w:r>
      <w:r w:rsidRPr="00735503">
        <w:rPr>
          <w:rFonts w:ascii="Arial" w:hAnsi="Arial" w:cs="Arial"/>
          <w:sz w:val="20"/>
          <w:szCs w:val="20"/>
        </w:rPr>
        <w:t>(</w:t>
      </w:r>
      <w:r w:rsidR="00CA25F2">
        <w:rPr>
          <w:rFonts w:ascii="Arial" w:hAnsi="Arial" w:cs="Arial"/>
          <w:sz w:val="20"/>
          <w:szCs w:val="20"/>
        </w:rPr>
        <w:t xml:space="preserve">v nadaljnjem besedilu: </w:t>
      </w:r>
      <w:proofErr w:type="spellStart"/>
      <w:r w:rsidRPr="00735503">
        <w:rPr>
          <w:rFonts w:ascii="Arial" w:hAnsi="Arial" w:cs="Arial"/>
          <w:sz w:val="20"/>
          <w:szCs w:val="20"/>
        </w:rPr>
        <w:t>unijski</w:t>
      </w:r>
      <w:proofErr w:type="spellEnd"/>
      <w:r w:rsidRPr="00735503">
        <w:rPr>
          <w:rFonts w:ascii="Arial" w:hAnsi="Arial" w:cs="Arial"/>
          <w:sz w:val="20"/>
          <w:szCs w:val="20"/>
        </w:rPr>
        <w:t xml:space="preserve"> prag). </w:t>
      </w:r>
    </w:p>
    <w:p w14:paraId="57932D3A" w14:textId="77777777" w:rsidR="007B6F6E" w:rsidRDefault="007B6F6E" w:rsidP="00B21C92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2B9294B4" w14:textId="6BEA9E36" w:rsidR="00B21C92" w:rsidRPr="00735503" w:rsidRDefault="00B21C92" w:rsidP="00B21C92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  <w:r w:rsidRPr="00735503">
        <w:rPr>
          <w:rFonts w:ascii="Arial" w:hAnsi="Arial" w:cs="Arial"/>
          <w:sz w:val="20"/>
          <w:szCs w:val="20"/>
        </w:rPr>
        <w:t>Davčni zavezanec, katerega promet v državi članici, v kateri ima sedež, ne dosega nacionalnega praga, lahko še naprej opravlja oproščene dobave v državi članici</w:t>
      </w:r>
      <w:r w:rsidR="00D55595">
        <w:rPr>
          <w:rFonts w:ascii="Arial" w:hAnsi="Arial" w:cs="Arial"/>
          <w:sz w:val="20"/>
          <w:szCs w:val="20"/>
        </w:rPr>
        <w:t xml:space="preserve"> sedeža</w:t>
      </w:r>
      <w:r w:rsidRPr="00735503">
        <w:rPr>
          <w:rFonts w:ascii="Arial" w:hAnsi="Arial" w:cs="Arial"/>
          <w:sz w:val="20"/>
          <w:szCs w:val="20"/>
        </w:rPr>
        <w:t xml:space="preserve"> ne glede na promet, ki ga ustvari v drugih državah članicah, čeprav njegov skupni promet presega unijski prag.</w:t>
      </w:r>
      <w:r w:rsidR="00121323">
        <w:rPr>
          <w:rFonts w:ascii="Arial" w:hAnsi="Arial" w:cs="Arial"/>
          <w:sz w:val="20"/>
          <w:szCs w:val="20"/>
        </w:rPr>
        <w:t xml:space="preserve"> Navedeno pomeni, da davčni zavezanec, ki preseg</w:t>
      </w:r>
      <w:r w:rsidR="007B6F6E">
        <w:rPr>
          <w:rFonts w:ascii="Arial" w:hAnsi="Arial" w:cs="Arial"/>
          <w:sz w:val="20"/>
          <w:szCs w:val="20"/>
        </w:rPr>
        <w:t>a</w:t>
      </w:r>
      <w:r w:rsidR="00121323">
        <w:rPr>
          <w:rFonts w:ascii="Arial" w:hAnsi="Arial" w:cs="Arial"/>
          <w:sz w:val="20"/>
          <w:szCs w:val="20"/>
        </w:rPr>
        <w:t xml:space="preserve"> unijski prag</w:t>
      </w:r>
      <w:r w:rsidR="007B6F6E">
        <w:rPr>
          <w:rFonts w:ascii="Arial" w:hAnsi="Arial" w:cs="Arial"/>
          <w:sz w:val="20"/>
          <w:szCs w:val="20"/>
        </w:rPr>
        <w:t>,</w:t>
      </w:r>
      <w:r w:rsidR="00121323">
        <w:rPr>
          <w:rFonts w:ascii="Arial" w:hAnsi="Arial" w:cs="Arial"/>
          <w:sz w:val="20"/>
          <w:szCs w:val="20"/>
        </w:rPr>
        <w:t xml:space="preserve"> ne bo mogel uveljavljati čezmejne SME ureditve, bo pa še vedno lahko uporabljal domačo SME ureditev, dokler nacionalni prag za oprostitev ni presežen oziroma ni presežen prag v prehodnem obdobju, če ga država članica oprostitve uporablja. </w:t>
      </w:r>
      <w:r w:rsidR="007B6F6E">
        <w:rPr>
          <w:rFonts w:ascii="Arial" w:hAnsi="Arial" w:cs="Arial"/>
          <w:sz w:val="20"/>
          <w:szCs w:val="20"/>
        </w:rPr>
        <w:t>Po drugi strani pa bo čezmejno SME ureditev lahko uporabljal tudi davčni zavezanec, ki je zavezan obračunavanju DDV v državi članici, kjer ima sedež, ali se je prostovoljno odločil za identifikacijo za namene DDV, pod pogojem, da ne presega unijskega praga v tekočem koledarskem letu in tega praga ni presegel niti v preteklem letu in hkrati ni presežen nacionalni prag države članice oprostitve</w:t>
      </w:r>
      <w:r w:rsidR="00D55595">
        <w:rPr>
          <w:rFonts w:ascii="Arial" w:hAnsi="Arial" w:cs="Arial"/>
          <w:sz w:val="20"/>
          <w:szCs w:val="20"/>
        </w:rPr>
        <w:t>, kjer želi/ bo ali uporablja oprostitev obračunavanja DDV</w:t>
      </w:r>
      <w:r w:rsidR="007B6F6E">
        <w:rPr>
          <w:rFonts w:ascii="Arial" w:hAnsi="Arial" w:cs="Arial"/>
          <w:sz w:val="20"/>
          <w:szCs w:val="20"/>
        </w:rPr>
        <w:t>.</w:t>
      </w:r>
      <w:r w:rsidR="00867EDF">
        <w:rPr>
          <w:rFonts w:ascii="Arial" w:hAnsi="Arial" w:cs="Arial"/>
          <w:sz w:val="20"/>
          <w:szCs w:val="20"/>
        </w:rPr>
        <w:t xml:space="preserve"> Možnost uporabe čezmejne SME ureditve ima tudi davčni zavezanec, ki </w:t>
      </w:r>
      <w:r w:rsidR="000D12B9">
        <w:rPr>
          <w:rFonts w:ascii="Arial" w:hAnsi="Arial" w:cs="Arial"/>
          <w:sz w:val="20"/>
          <w:szCs w:val="20"/>
        </w:rPr>
        <w:t>za obračunavanj</w:t>
      </w:r>
      <w:r w:rsidR="00222A5C">
        <w:rPr>
          <w:rFonts w:ascii="Arial" w:hAnsi="Arial" w:cs="Arial"/>
          <w:sz w:val="20"/>
          <w:szCs w:val="20"/>
        </w:rPr>
        <w:t>e</w:t>
      </w:r>
      <w:r w:rsidR="000D12B9">
        <w:rPr>
          <w:rFonts w:ascii="Arial" w:hAnsi="Arial" w:cs="Arial"/>
          <w:sz w:val="20"/>
          <w:szCs w:val="20"/>
        </w:rPr>
        <w:t xml:space="preserve"> DDV uporablja </w:t>
      </w:r>
      <w:proofErr w:type="spellStart"/>
      <w:r w:rsidR="000D12B9">
        <w:rPr>
          <w:rFonts w:ascii="Arial" w:hAnsi="Arial" w:cs="Arial"/>
          <w:sz w:val="20"/>
          <w:szCs w:val="20"/>
        </w:rPr>
        <w:t>unijsko</w:t>
      </w:r>
      <w:proofErr w:type="spellEnd"/>
      <w:r w:rsidR="000D12B9">
        <w:rPr>
          <w:rFonts w:ascii="Arial" w:hAnsi="Arial" w:cs="Arial"/>
          <w:sz w:val="20"/>
          <w:szCs w:val="20"/>
        </w:rPr>
        <w:t xml:space="preserve"> ureditev VEM iz 6.b podpoglavja XI. </w:t>
      </w:r>
      <w:hyperlink r:id="rId16" w:history="1">
        <w:r w:rsidR="000D12B9" w:rsidRPr="000D12B9">
          <w:rPr>
            <w:rStyle w:val="Hiperpovezava"/>
            <w:rFonts w:ascii="Arial" w:hAnsi="Arial" w:cs="Arial"/>
            <w:sz w:val="20"/>
            <w:szCs w:val="20"/>
          </w:rPr>
          <w:t>Zakona o davku na dodano vrednost – ZDDV-1</w:t>
        </w:r>
      </w:hyperlink>
      <w:r w:rsidR="000D12B9">
        <w:rPr>
          <w:rFonts w:ascii="Arial" w:hAnsi="Arial" w:cs="Arial"/>
          <w:sz w:val="20"/>
          <w:szCs w:val="20"/>
        </w:rPr>
        <w:t>. Prepoved uporabe čezmejne SME ureditve pa velja za davčne zavezance, ki uporabljajo uvozno ureditev VEM iz 6.c podpoglavja XI. poglavja ZDDV-1.</w:t>
      </w:r>
    </w:p>
    <w:p w14:paraId="315F8759" w14:textId="77777777" w:rsidR="00B21C92" w:rsidRPr="00735503" w:rsidRDefault="00B21C92" w:rsidP="00B21C92">
      <w:pPr>
        <w:pStyle w:val="Navadensplet"/>
        <w:shd w:val="clear" w:color="auto" w:fill="FFFFFF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38D81F86" w14:textId="41B00B31" w:rsidR="00B21C92" w:rsidRPr="00735503" w:rsidRDefault="00C610D4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/>
        </w:rPr>
        <w:t>Slovenski d</w:t>
      </w:r>
      <w:r w:rsidR="00B21C92" w:rsidRPr="00735503">
        <w:rPr>
          <w:rFonts w:cs="Arial"/>
          <w:szCs w:val="20"/>
          <w:lang w:val="sl-SI"/>
        </w:rPr>
        <w:t xml:space="preserve">avčni zavezanec, ki bo želel uporabiti </w:t>
      </w:r>
      <w:r w:rsidR="00955154">
        <w:rPr>
          <w:rFonts w:cs="Arial"/>
          <w:szCs w:val="20"/>
          <w:lang w:val="sl-SI"/>
        </w:rPr>
        <w:t>čezmejno</w:t>
      </w:r>
      <w:r w:rsidR="00AB1A6F">
        <w:rPr>
          <w:rFonts w:cs="Arial"/>
          <w:szCs w:val="20"/>
          <w:lang w:val="sl-SI"/>
        </w:rPr>
        <w:t xml:space="preserve"> SME</w:t>
      </w:r>
      <w:r w:rsidR="00955154">
        <w:rPr>
          <w:rFonts w:cs="Arial"/>
          <w:szCs w:val="20"/>
          <w:lang w:val="sl-SI"/>
        </w:rPr>
        <w:t xml:space="preserve"> </w:t>
      </w:r>
      <w:r w:rsidR="00AB1A6F">
        <w:rPr>
          <w:rFonts w:cs="Arial"/>
          <w:szCs w:val="20"/>
          <w:lang w:val="sl-SI"/>
        </w:rPr>
        <w:t xml:space="preserve">ureditev </w:t>
      </w:r>
      <w:r w:rsidR="00B21C92" w:rsidRPr="00735503">
        <w:rPr>
          <w:rFonts w:cs="Arial"/>
          <w:szCs w:val="20"/>
          <w:lang w:val="sl-SI"/>
        </w:rPr>
        <w:t>v državi članici (oziroma državah članicah), v kateri nima sedeža</w:t>
      </w:r>
      <w:r w:rsidR="00CA25F2">
        <w:rPr>
          <w:rFonts w:cs="Arial"/>
          <w:szCs w:val="20"/>
          <w:lang w:val="sl-SI"/>
        </w:rPr>
        <w:t xml:space="preserve"> (v nadaljnjem besedilu: država članica oprostitve)</w:t>
      </w:r>
      <w:r w:rsidR="00B21C92" w:rsidRPr="00735503">
        <w:rPr>
          <w:rFonts w:cs="Arial"/>
          <w:szCs w:val="20"/>
          <w:lang w:val="sl-SI"/>
        </w:rPr>
        <w:t xml:space="preserve">, bo moral o tem vnaprej obvestiti </w:t>
      </w:r>
      <w:r>
        <w:rPr>
          <w:rFonts w:cs="Arial"/>
          <w:szCs w:val="20"/>
          <w:lang w:val="sl-SI"/>
        </w:rPr>
        <w:t>davčni organ</w:t>
      </w:r>
      <w:r w:rsidR="00B21C92" w:rsidRPr="00735503">
        <w:rPr>
          <w:rFonts w:cs="Arial"/>
          <w:szCs w:val="20"/>
          <w:lang w:val="sl-SI"/>
        </w:rPr>
        <w:t xml:space="preserve">. Če bo davčni zavezanec izpolnjeval pogoje za uporabo </w:t>
      </w:r>
      <w:r w:rsidR="00955154">
        <w:rPr>
          <w:rFonts w:cs="Arial"/>
          <w:szCs w:val="20"/>
          <w:lang w:val="sl-SI"/>
        </w:rPr>
        <w:t xml:space="preserve">čezmejne SME </w:t>
      </w:r>
      <w:r w:rsidR="00B21C92" w:rsidRPr="00735503">
        <w:rPr>
          <w:rFonts w:cs="Arial"/>
          <w:szCs w:val="20"/>
          <w:lang w:val="sl-SI"/>
        </w:rPr>
        <w:t xml:space="preserve">ureditve, mu bo </w:t>
      </w:r>
      <w:r w:rsidR="00955154">
        <w:rPr>
          <w:rFonts w:cs="Arial"/>
          <w:szCs w:val="20"/>
          <w:lang w:val="sl-SI"/>
        </w:rPr>
        <w:t>d</w:t>
      </w:r>
      <w:r>
        <w:rPr>
          <w:rFonts w:cs="Arial"/>
          <w:szCs w:val="20"/>
          <w:lang w:val="sl-SI"/>
        </w:rPr>
        <w:t>avčni organ</w:t>
      </w:r>
      <w:r w:rsidR="00955154">
        <w:rPr>
          <w:rFonts w:cs="Arial"/>
          <w:szCs w:val="20"/>
          <w:lang w:val="sl-SI"/>
        </w:rPr>
        <w:t xml:space="preserve"> </w:t>
      </w:r>
      <w:r w:rsidR="00D52130">
        <w:rPr>
          <w:rFonts w:cs="Arial"/>
          <w:szCs w:val="20"/>
          <w:lang w:val="sl-SI"/>
        </w:rPr>
        <w:t>dodelil</w:t>
      </w:r>
      <w:r w:rsidR="00B21C92" w:rsidRPr="00735503">
        <w:rPr>
          <w:rFonts w:cs="Arial"/>
          <w:szCs w:val="20"/>
          <w:lang w:val="sl-SI"/>
        </w:rPr>
        <w:t xml:space="preserve"> </w:t>
      </w:r>
      <w:r w:rsidR="00D52130">
        <w:rPr>
          <w:rFonts w:cs="Arial"/>
          <w:szCs w:val="20"/>
          <w:lang w:val="sl-SI"/>
        </w:rPr>
        <w:t xml:space="preserve">posamično </w:t>
      </w:r>
      <w:r w:rsidR="00B21C92" w:rsidRPr="00735503">
        <w:rPr>
          <w:rFonts w:cs="Arial"/>
          <w:szCs w:val="20"/>
          <w:lang w:val="sl-SI"/>
        </w:rPr>
        <w:t>identifikacijsk</w:t>
      </w:r>
      <w:r w:rsidR="00925CDF">
        <w:rPr>
          <w:rFonts w:cs="Arial"/>
          <w:szCs w:val="20"/>
          <w:lang w:val="sl-SI"/>
        </w:rPr>
        <w:t>o</w:t>
      </w:r>
      <w:r w:rsidR="00B21C92" w:rsidRPr="00735503">
        <w:rPr>
          <w:rFonts w:cs="Arial"/>
          <w:szCs w:val="20"/>
          <w:lang w:val="sl-SI"/>
        </w:rPr>
        <w:t xml:space="preserve"> številk</w:t>
      </w:r>
      <w:r w:rsidR="00925CDF">
        <w:rPr>
          <w:rFonts w:cs="Arial"/>
          <w:szCs w:val="20"/>
          <w:lang w:val="sl-SI"/>
        </w:rPr>
        <w:t>o</w:t>
      </w:r>
      <w:r w:rsidR="00B21C92" w:rsidRPr="00735503">
        <w:rPr>
          <w:rFonts w:cs="Arial"/>
          <w:szCs w:val="20"/>
          <w:lang w:val="sl-SI"/>
        </w:rPr>
        <w:t xml:space="preserve"> s pripono </w:t>
      </w:r>
      <w:r w:rsidR="00925CDF">
        <w:rPr>
          <w:rFonts w:cs="Arial"/>
          <w:szCs w:val="20"/>
          <w:lang w:val="sl-SI"/>
        </w:rPr>
        <w:t>-</w:t>
      </w:r>
      <w:r w:rsidR="00B21C92" w:rsidRPr="00735503">
        <w:rPr>
          <w:rFonts w:cs="Arial"/>
          <w:szCs w:val="20"/>
          <w:lang w:val="sl-SI"/>
        </w:rPr>
        <w:t>EX</w:t>
      </w:r>
      <w:r w:rsidR="00E82975">
        <w:rPr>
          <w:rFonts w:cs="Arial"/>
          <w:szCs w:val="20"/>
          <w:lang w:val="sl-SI"/>
        </w:rPr>
        <w:t xml:space="preserve"> (v nadaljnjem besedilu</w:t>
      </w:r>
      <w:r w:rsidR="00222A5C">
        <w:rPr>
          <w:rFonts w:cs="Arial"/>
          <w:szCs w:val="20"/>
          <w:lang w:val="sl-SI"/>
        </w:rPr>
        <w:t>:</w:t>
      </w:r>
      <w:r w:rsidR="00E82975">
        <w:rPr>
          <w:rFonts w:cs="Arial"/>
          <w:szCs w:val="20"/>
          <w:lang w:val="sl-SI"/>
        </w:rPr>
        <w:t xml:space="preserve"> EX številka)</w:t>
      </w:r>
      <w:r w:rsidR="00246D35">
        <w:rPr>
          <w:rFonts w:cs="Arial"/>
          <w:szCs w:val="20"/>
          <w:lang w:val="sl-SI"/>
        </w:rPr>
        <w:t xml:space="preserve">. Vsaka država članica oprostitve bo elektronsko potrdila, ali davčni zavezanec izpolnjuje pogoje za oprostitev obračunavanja DDV na njenem ozemlju. Na tej podlagi bo </w:t>
      </w:r>
      <w:r>
        <w:rPr>
          <w:rFonts w:cs="Arial"/>
          <w:szCs w:val="20"/>
          <w:lang w:val="sl-SI"/>
        </w:rPr>
        <w:t>davčni organ</w:t>
      </w:r>
      <w:r w:rsidR="00246D35">
        <w:rPr>
          <w:rFonts w:cs="Arial"/>
          <w:szCs w:val="20"/>
          <w:lang w:val="sl-SI"/>
        </w:rPr>
        <w:t xml:space="preserve"> </w:t>
      </w:r>
      <w:r w:rsidR="00435D2A">
        <w:rPr>
          <w:rFonts w:cs="Arial"/>
          <w:szCs w:val="20"/>
          <w:lang w:val="sl-SI"/>
        </w:rPr>
        <w:t xml:space="preserve">potrdil ali zavrnil uporabo </w:t>
      </w:r>
      <w:r w:rsidR="00E82975">
        <w:rPr>
          <w:rFonts w:cs="Arial"/>
          <w:szCs w:val="20"/>
          <w:lang w:val="sl-SI"/>
        </w:rPr>
        <w:t>EX š</w:t>
      </w:r>
      <w:r w:rsidR="00D34CDD">
        <w:rPr>
          <w:rFonts w:cs="Arial"/>
          <w:szCs w:val="20"/>
          <w:lang w:val="sl-SI"/>
        </w:rPr>
        <w:t>tevilke za oprostitev obračunavanja DDV v državi članici oprostitve</w:t>
      </w:r>
      <w:r w:rsidR="00B21C92" w:rsidRPr="00735503">
        <w:rPr>
          <w:rFonts w:cs="Arial"/>
          <w:szCs w:val="20"/>
          <w:lang w:val="sl-SI"/>
        </w:rPr>
        <w:t xml:space="preserve">. </w:t>
      </w:r>
      <w:r w:rsidR="00246D35" w:rsidRPr="00735503">
        <w:rPr>
          <w:rFonts w:cs="Arial"/>
          <w:szCs w:val="20"/>
          <w:lang w:val="sl-SI" w:eastAsia="sl-SI"/>
        </w:rPr>
        <w:t>Ti podatki bodo objavljeni na spletni strani E</w:t>
      </w:r>
      <w:r w:rsidR="00222A5C">
        <w:rPr>
          <w:rFonts w:cs="Arial"/>
          <w:szCs w:val="20"/>
          <w:lang w:val="sl-SI" w:eastAsia="sl-SI"/>
        </w:rPr>
        <w:t>vropske komisije - EK</w:t>
      </w:r>
      <w:r w:rsidR="00246D35" w:rsidRPr="00735503">
        <w:rPr>
          <w:rFonts w:cs="Arial"/>
          <w:szCs w:val="20"/>
          <w:lang w:val="sl-SI" w:eastAsia="sl-SI"/>
        </w:rPr>
        <w:t xml:space="preserve"> (VIES).</w:t>
      </w:r>
      <w:r w:rsidR="00246D35">
        <w:rPr>
          <w:rFonts w:cs="Arial"/>
          <w:szCs w:val="20"/>
          <w:lang w:val="sl-SI" w:eastAsia="sl-SI"/>
        </w:rPr>
        <w:t xml:space="preserve"> </w:t>
      </w:r>
      <w:r w:rsidR="00B21C92" w:rsidRPr="00735503">
        <w:rPr>
          <w:rFonts w:cs="Arial"/>
          <w:szCs w:val="20"/>
          <w:lang w:val="sl-SI"/>
        </w:rPr>
        <w:t xml:space="preserve">Davčni zavezanec </w:t>
      </w:r>
      <w:r w:rsidR="006659FF">
        <w:rPr>
          <w:rFonts w:cs="Arial"/>
          <w:szCs w:val="20"/>
          <w:lang w:val="sl-SI"/>
        </w:rPr>
        <w:t xml:space="preserve">bo </w:t>
      </w:r>
      <w:r w:rsidR="00B21C92" w:rsidRPr="00735503">
        <w:rPr>
          <w:rFonts w:cs="Arial"/>
          <w:szCs w:val="20"/>
          <w:lang w:val="sl-SI"/>
        </w:rPr>
        <w:t>s</w:t>
      </w:r>
      <w:r w:rsidR="00B21C92" w:rsidRPr="00735503">
        <w:rPr>
          <w:rFonts w:cs="Arial"/>
          <w:szCs w:val="20"/>
          <w:lang w:val="sl-SI" w:eastAsia="sl-SI"/>
        </w:rPr>
        <w:t xml:space="preserve"> posodobitvijo predhodnega obvestila vnaprej obvesti</w:t>
      </w:r>
      <w:r w:rsidR="006659FF">
        <w:rPr>
          <w:rFonts w:cs="Arial"/>
          <w:szCs w:val="20"/>
          <w:lang w:val="sl-SI" w:eastAsia="sl-SI"/>
        </w:rPr>
        <w:t>l davčni organ</w:t>
      </w:r>
      <w:r w:rsidR="00B21C92" w:rsidRPr="00735503">
        <w:rPr>
          <w:rFonts w:cs="Arial"/>
          <w:szCs w:val="20"/>
          <w:lang w:val="sl-SI" w:eastAsia="sl-SI"/>
        </w:rPr>
        <w:t xml:space="preserve"> o vsakršni spremembi poslanih informacij, vključno z namero, da </w:t>
      </w:r>
      <w:r w:rsidR="00925CDF">
        <w:rPr>
          <w:rFonts w:cs="Arial"/>
          <w:szCs w:val="20"/>
          <w:lang w:val="sl-SI" w:eastAsia="sl-SI"/>
        </w:rPr>
        <w:t xml:space="preserve">bo </w:t>
      </w:r>
      <w:r w:rsidR="00B21C92" w:rsidRPr="00735503">
        <w:rPr>
          <w:rFonts w:cs="Arial"/>
          <w:szCs w:val="20"/>
          <w:lang w:val="sl-SI" w:eastAsia="sl-SI"/>
        </w:rPr>
        <w:t>uporabi</w:t>
      </w:r>
      <w:r w:rsidR="00925CDF">
        <w:rPr>
          <w:rFonts w:cs="Arial"/>
          <w:szCs w:val="20"/>
          <w:lang w:val="sl-SI" w:eastAsia="sl-SI"/>
        </w:rPr>
        <w:t>l</w:t>
      </w:r>
      <w:r w:rsidR="00B21C92" w:rsidRPr="00735503">
        <w:rPr>
          <w:rFonts w:cs="Arial"/>
          <w:szCs w:val="20"/>
          <w:lang w:val="sl-SI" w:eastAsia="sl-SI"/>
        </w:rPr>
        <w:t xml:space="preserve"> oprostitev v državi članici ali državah članicah, ki niso tiste, navedene v predhodnem obvestilu oziroma </w:t>
      </w:r>
      <w:r w:rsidR="00925CDF">
        <w:rPr>
          <w:rFonts w:cs="Arial"/>
          <w:szCs w:val="20"/>
          <w:lang w:val="sl-SI" w:eastAsia="sl-SI"/>
        </w:rPr>
        <w:t xml:space="preserve">njegovo odločitvijo o prenehanju uporabe </w:t>
      </w:r>
      <w:r w:rsidR="00B21C92" w:rsidRPr="00735503">
        <w:rPr>
          <w:rFonts w:cs="Arial"/>
          <w:szCs w:val="20"/>
          <w:lang w:val="sl-SI" w:eastAsia="sl-SI"/>
        </w:rPr>
        <w:t>oprostitve v držav</w:t>
      </w:r>
      <w:r w:rsidR="00CA25F2">
        <w:rPr>
          <w:rFonts w:cs="Arial"/>
          <w:szCs w:val="20"/>
          <w:lang w:val="sl-SI" w:eastAsia="sl-SI"/>
        </w:rPr>
        <w:t>i</w:t>
      </w:r>
      <w:r w:rsidR="00B21C92" w:rsidRPr="00735503">
        <w:rPr>
          <w:rFonts w:cs="Arial"/>
          <w:szCs w:val="20"/>
          <w:lang w:val="sl-SI" w:eastAsia="sl-SI"/>
        </w:rPr>
        <w:t xml:space="preserve"> članic</w:t>
      </w:r>
      <w:r w:rsidR="00CA25F2">
        <w:rPr>
          <w:rFonts w:cs="Arial"/>
          <w:szCs w:val="20"/>
          <w:lang w:val="sl-SI" w:eastAsia="sl-SI"/>
        </w:rPr>
        <w:t>i oprostitve ali državah članicah oprostitve</w:t>
      </w:r>
      <w:r w:rsidR="00925CDF">
        <w:rPr>
          <w:rFonts w:cs="Arial"/>
          <w:szCs w:val="20"/>
          <w:lang w:val="sl-SI" w:eastAsia="sl-SI"/>
        </w:rPr>
        <w:t>, ki so navedene v predhodnem obvestilu</w:t>
      </w:r>
      <w:r w:rsidR="00B21C92" w:rsidRPr="00735503">
        <w:rPr>
          <w:rFonts w:cs="Arial"/>
          <w:szCs w:val="20"/>
          <w:lang w:val="sl-SI" w:eastAsia="sl-SI"/>
        </w:rPr>
        <w:t xml:space="preserve">. </w:t>
      </w:r>
    </w:p>
    <w:p w14:paraId="74E528A3" w14:textId="77777777" w:rsidR="00B21C92" w:rsidRPr="00735503" w:rsidRDefault="00B21C92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1654E277" w14:textId="2634EC54" w:rsidR="00B21C92" w:rsidRDefault="00B21C92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  <w:r w:rsidRPr="00735503">
        <w:rPr>
          <w:rFonts w:cs="Arial"/>
          <w:szCs w:val="20"/>
          <w:lang w:val="sl-SI" w:eastAsia="sl-SI"/>
        </w:rPr>
        <w:t xml:space="preserve">Davčni zavezanci, ki bodo uporabljali </w:t>
      </w:r>
      <w:r w:rsidR="00246D35">
        <w:rPr>
          <w:rFonts w:cs="Arial"/>
          <w:szCs w:val="20"/>
          <w:lang w:val="sl-SI" w:eastAsia="sl-SI"/>
        </w:rPr>
        <w:t>čezmejno SME</w:t>
      </w:r>
      <w:r w:rsidRPr="00735503">
        <w:rPr>
          <w:rFonts w:cs="Arial"/>
          <w:szCs w:val="20"/>
          <w:lang w:val="sl-SI" w:eastAsia="sl-SI"/>
        </w:rPr>
        <w:t xml:space="preserve"> ureditev, bodo </w:t>
      </w:r>
      <w:r w:rsidR="00E82975">
        <w:rPr>
          <w:rFonts w:cs="Arial"/>
          <w:szCs w:val="20"/>
          <w:lang w:val="sl-SI" w:eastAsia="sl-SI"/>
        </w:rPr>
        <w:t>davčnemu organu</w:t>
      </w:r>
      <w:r w:rsidRPr="00735503">
        <w:rPr>
          <w:rFonts w:cs="Arial"/>
          <w:szCs w:val="20"/>
          <w:lang w:val="sl-SI" w:eastAsia="sl-SI"/>
        </w:rPr>
        <w:t xml:space="preserve"> za vsako koledarsko </w:t>
      </w:r>
      <w:r w:rsidR="0036017B">
        <w:rPr>
          <w:rFonts w:cs="Arial"/>
          <w:szCs w:val="20"/>
          <w:lang w:val="sl-SI" w:eastAsia="sl-SI"/>
        </w:rPr>
        <w:t>trimesečje</w:t>
      </w:r>
      <w:r w:rsidRPr="00735503">
        <w:rPr>
          <w:rFonts w:cs="Arial"/>
          <w:szCs w:val="20"/>
          <w:lang w:val="sl-SI" w:eastAsia="sl-SI"/>
        </w:rPr>
        <w:t xml:space="preserve"> predložili </w:t>
      </w:r>
      <w:r>
        <w:rPr>
          <w:rFonts w:cs="Arial"/>
          <w:szCs w:val="20"/>
          <w:lang w:val="sl-SI" w:eastAsia="sl-SI"/>
        </w:rPr>
        <w:t xml:space="preserve">četrtletno </w:t>
      </w:r>
      <w:r w:rsidRPr="00735503">
        <w:rPr>
          <w:rFonts w:cs="Arial"/>
          <w:szCs w:val="20"/>
          <w:lang w:val="sl-SI" w:eastAsia="sl-SI"/>
        </w:rPr>
        <w:t xml:space="preserve">poročilo o skupni vrednosti dobav, opravljenih v koledarskem </w:t>
      </w:r>
      <w:r w:rsidR="0036017B">
        <w:rPr>
          <w:rFonts w:cs="Arial"/>
          <w:szCs w:val="20"/>
          <w:lang w:val="sl-SI" w:eastAsia="sl-SI"/>
        </w:rPr>
        <w:t>trimesečju</w:t>
      </w:r>
      <w:r w:rsidRPr="00735503">
        <w:rPr>
          <w:rFonts w:cs="Arial"/>
          <w:szCs w:val="20"/>
          <w:lang w:val="sl-SI" w:eastAsia="sl-SI"/>
        </w:rPr>
        <w:t xml:space="preserve"> po posameznih državah članicah </w:t>
      </w:r>
      <w:r w:rsidR="00AB1A6F">
        <w:rPr>
          <w:rFonts w:cs="Arial"/>
          <w:szCs w:val="20"/>
          <w:lang w:val="sl-SI" w:eastAsia="sl-SI"/>
        </w:rPr>
        <w:t xml:space="preserve">oprostitve </w:t>
      </w:r>
      <w:r w:rsidRPr="00735503">
        <w:rPr>
          <w:rFonts w:cs="Arial"/>
          <w:szCs w:val="20"/>
          <w:lang w:val="sl-SI" w:eastAsia="sl-SI"/>
        </w:rPr>
        <w:t xml:space="preserve">in </w:t>
      </w:r>
      <w:r w:rsidR="00C610D4">
        <w:rPr>
          <w:rFonts w:cs="Arial"/>
          <w:szCs w:val="20"/>
          <w:lang w:val="sl-SI" w:eastAsia="sl-SI"/>
        </w:rPr>
        <w:t>skupni vrednosti dobav v Sloveniji</w:t>
      </w:r>
      <w:r w:rsidRPr="00735503">
        <w:rPr>
          <w:rFonts w:cs="Arial"/>
          <w:szCs w:val="20"/>
          <w:lang w:val="sl-SI" w:eastAsia="sl-SI"/>
        </w:rPr>
        <w:t xml:space="preserve"> (v roku enega meseca po koncu koledarskega </w:t>
      </w:r>
      <w:r w:rsidR="00AB1A6F">
        <w:rPr>
          <w:rFonts w:cs="Arial"/>
          <w:szCs w:val="20"/>
          <w:lang w:val="sl-SI" w:eastAsia="sl-SI"/>
        </w:rPr>
        <w:t>trimesečja</w:t>
      </w:r>
      <w:r w:rsidRPr="00735503">
        <w:rPr>
          <w:rFonts w:cs="Arial"/>
          <w:szCs w:val="20"/>
          <w:lang w:val="sl-SI" w:eastAsia="sl-SI"/>
        </w:rPr>
        <w:t xml:space="preserve">). Če bodo </w:t>
      </w:r>
      <w:r w:rsidR="00C610D4">
        <w:rPr>
          <w:rFonts w:cs="Arial"/>
          <w:szCs w:val="20"/>
          <w:lang w:val="sl-SI" w:eastAsia="sl-SI"/>
        </w:rPr>
        <w:t xml:space="preserve">v državah članicah oprostitve </w:t>
      </w:r>
      <w:r w:rsidRPr="00735503">
        <w:rPr>
          <w:rFonts w:cs="Arial"/>
          <w:szCs w:val="20"/>
          <w:lang w:val="sl-SI" w:eastAsia="sl-SI"/>
        </w:rPr>
        <w:t xml:space="preserve">uporabljeni različni sektorski pragovi, bo treba o vsakem veljavnem pragu sporočiti vrednost dobav ločeno. </w:t>
      </w:r>
      <w:r w:rsidR="0036017B">
        <w:rPr>
          <w:rFonts w:cs="Arial"/>
          <w:szCs w:val="20"/>
          <w:lang w:val="sl-SI" w:eastAsia="sl-SI"/>
        </w:rPr>
        <w:t>V primeru presega</w:t>
      </w:r>
      <w:r w:rsidR="00B60535">
        <w:rPr>
          <w:rFonts w:cs="Arial"/>
          <w:szCs w:val="20"/>
          <w:lang w:val="sl-SI" w:eastAsia="sl-SI"/>
        </w:rPr>
        <w:t xml:space="preserve"> unijskega praga pa bodo davčni zavezanci dolžni </w:t>
      </w:r>
      <w:r w:rsidR="00E82975">
        <w:rPr>
          <w:rFonts w:cs="Arial"/>
          <w:szCs w:val="20"/>
          <w:lang w:val="sl-SI" w:eastAsia="sl-SI"/>
        </w:rPr>
        <w:t xml:space="preserve">davčnemu organu </w:t>
      </w:r>
      <w:r w:rsidR="00B60535">
        <w:rPr>
          <w:rFonts w:cs="Arial"/>
          <w:szCs w:val="20"/>
          <w:lang w:val="sl-SI" w:eastAsia="sl-SI"/>
        </w:rPr>
        <w:t>predložiti še poročilo o preseganju letnega prometa v Uniji za uporabo čezmejne oprostitve obračunavanja DDV (v roku 15 delovnih dni od dneva</w:t>
      </w:r>
      <w:r w:rsidR="006659FF">
        <w:rPr>
          <w:rFonts w:cs="Arial"/>
          <w:szCs w:val="20"/>
          <w:lang w:val="sl-SI" w:eastAsia="sl-SI"/>
        </w:rPr>
        <w:t>,</w:t>
      </w:r>
      <w:r w:rsidR="00B60535">
        <w:rPr>
          <w:rFonts w:cs="Arial"/>
          <w:szCs w:val="20"/>
          <w:lang w:val="sl-SI" w:eastAsia="sl-SI"/>
        </w:rPr>
        <w:t xml:space="preserve"> ko je bil presežen prag).</w:t>
      </w:r>
      <w:r w:rsidRPr="00735503">
        <w:rPr>
          <w:rFonts w:cs="Arial"/>
          <w:szCs w:val="20"/>
          <w:lang w:val="sl-SI" w:eastAsia="sl-SI"/>
        </w:rPr>
        <w:t xml:space="preserve"> </w:t>
      </w:r>
    </w:p>
    <w:p w14:paraId="478DB171" w14:textId="77777777" w:rsidR="00CB1832" w:rsidRDefault="00CB1832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6E294838" w14:textId="635BFCC1" w:rsidR="00CB1832" w:rsidRDefault="00CB1832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Davčni zavezanec, ki </w:t>
      </w:r>
      <w:r w:rsidR="006659FF">
        <w:rPr>
          <w:rFonts w:cs="Arial"/>
          <w:szCs w:val="20"/>
          <w:lang w:val="sl-SI" w:eastAsia="sl-SI"/>
        </w:rPr>
        <w:t xml:space="preserve">bo </w:t>
      </w:r>
      <w:r>
        <w:rPr>
          <w:rFonts w:cs="Arial"/>
          <w:szCs w:val="20"/>
          <w:lang w:val="sl-SI" w:eastAsia="sl-SI"/>
        </w:rPr>
        <w:t>uporablja</w:t>
      </w:r>
      <w:r w:rsidR="006659FF">
        <w:rPr>
          <w:rFonts w:cs="Arial"/>
          <w:szCs w:val="20"/>
          <w:lang w:val="sl-SI" w:eastAsia="sl-SI"/>
        </w:rPr>
        <w:t>l</w:t>
      </w:r>
      <w:r>
        <w:rPr>
          <w:rFonts w:cs="Arial"/>
          <w:szCs w:val="20"/>
          <w:lang w:val="sl-SI" w:eastAsia="sl-SI"/>
        </w:rPr>
        <w:t xml:space="preserve"> čezmejno SME ureditev</w:t>
      </w:r>
      <w:r w:rsidR="006659FF">
        <w:rPr>
          <w:rFonts w:cs="Arial"/>
          <w:szCs w:val="20"/>
          <w:lang w:val="sl-SI" w:eastAsia="sl-SI"/>
        </w:rPr>
        <w:t>,  ne bo imel</w:t>
      </w:r>
      <w:r>
        <w:rPr>
          <w:rFonts w:cs="Arial"/>
          <w:szCs w:val="20"/>
          <w:lang w:val="sl-SI" w:eastAsia="sl-SI"/>
        </w:rPr>
        <w:t xml:space="preserve"> pravice do odbitka DDV in DDV ne </w:t>
      </w:r>
      <w:r w:rsidR="006659FF">
        <w:rPr>
          <w:rFonts w:cs="Arial"/>
          <w:szCs w:val="20"/>
          <w:lang w:val="sl-SI" w:eastAsia="sl-SI"/>
        </w:rPr>
        <w:t xml:space="preserve">bo </w:t>
      </w:r>
      <w:r>
        <w:rPr>
          <w:rFonts w:cs="Arial"/>
          <w:szCs w:val="20"/>
          <w:lang w:val="sl-SI" w:eastAsia="sl-SI"/>
        </w:rPr>
        <w:t>sme</w:t>
      </w:r>
      <w:r w:rsidR="006659FF">
        <w:rPr>
          <w:rFonts w:cs="Arial"/>
          <w:szCs w:val="20"/>
          <w:lang w:val="sl-SI" w:eastAsia="sl-SI"/>
        </w:rPr>
        <w:t>l</w:t>
      </w:r>
      <w:r>
        <w:rPr>
          <w:rFonts w:cs="Arial"/>
          <w:szCs w:val="20"/>
          <w:lang w:val="sl-SI" w:eastAsia="sl-SI"/>
        </w:rPr>
        <w:t xml:space="preserve"> izkazovati na računih. Na računih</w:t>
      </w:r>
      <w:r w:rsidR="00E82975">
        <w:rPr>
          <w:rFonts w:cs="Arial"/>
          <w:szCs w:val="20"/>
          <w:lang w:val="sl-SI" w:eastAsia="sl-SI"/>
        </w:rPr>
        <w:t>, ki jih bo davčni zavezanec izstavil za dobave blaga ali storitev v državah članicah oprostitve,</w:t>
      </w:r>
      <w:r>
        <w:rPr>
          <w:rFonts w:cs="Arial"/>
          <w:szCs w:val="20"/>
          <w:lang w:val="sl-SI" w:eastAsia="sl-SI"/>
        </w:rPr>
        <w:t xml:space="preserve"> bo tak davčni zavezanec navedel EX številko</w:t>
      </w:r>
      <w:r w:rsidR="00E82975">
        <w:rPr>
          <w:rFonts w:cs="Arial"/>
          <w:szCs w:val="20"/>
          <w:lang w:val="sl-SI" w:eastAsia="sl-SI"/>
        </w:rPr>
        <w:t>.</w:t>
      </w:r>
      <w:r w:rsidR="00A63ED5">
        <w:rPr>
          <w:rFonts w:cs="Arial"/>
          <w:szCs w:val="20"/>
          <w:lang w:val="sl-SI" w:eastAsia="sl-SI"/>
        </w:rPr>
        <w:t xml:space="preserve"> </w:t>
      </w:r>
      <w:r w:rsidR="00E82975">
        <w:rPr>
          <w:rFonts w:cs="Arial"/>
          <w:szCs w:val="20"/>
          <w:lang w:val="sl-SI" w:eastAsia="sl-SI"/>
        </w:rPr>
        <w:t>Če pa bo opravil dobave blaga v Sloveniji</w:t>
      </w:r>
      <w:r w:rsidR="00A63ED5">
        <w:rPr>
          <w:rFonts w:cs="Arial"/>
          <w:szCs w:val="20"/>
          <w:lang w:val="sl-SI" w:eastAsia="sl-SI"/>
        </w:rPr>
        <w:t xml:space="preserve"> davčni zavezanec s sedežem v Sloveniji</w:t>
      </w:r>
      <w:r w:rsidR="00E82975">
        <w:rPr>
          <w:rFonts w:cs="Arial"/>
          <w:szCs w:val="20"/>
          <w:lang w:val="sl-SI" w:eastAsia="sl-SI"/>
        </w:rPr>
        <w:t xml:space="preserve">, se EX številka na računih ne </w:t>
      </w:r>
      <w:r w:rsidR="006659FF">
        <w:rPr>
          <w:rFonts w:cs="Arial"/>
          <w:szCs w:val="20"/>
          <w:lang w:val="sl-SI" w:eastAsia="sl-SI"/>
        </w:rPr>
        <w:t xml:space="preserve">bo </w:t>
      </w:r>
      <w:r w:rsidR="00E82975">
        <w:rPr>
          <w:rFonts w:cs="Arial"/>
          <w:szCs w:val="20"/>
          <w:lang w:val="sl-SI" w:eastAsia="sl-SI"/>
        </w:rPr>
        <w:t>navaja</w:t>
      </w:r>
      <w:r w:rsidR="006659FF">
        <w:rPr>
          <w:rFonts w:cs="Arial"/>
          <w:szCs w:val="20"/>
          <w:lang w:val="sl-SI" w:eastAsia="sl-SI"/>
        </w:rPr>
        <w:t>la</w:t>
      </w:r>
      <w:r w:rsidR="00E82975">
        <w:rPr>
          <w:rFonts w:cs="Arial"/>
          <w:szCs w:val="20"/>
          <w:lang w:val="sl-SI" w:eastAsia="sl-SI"/>
        </w:rPr>
        <w:t xml:space="preserve">. </w:t>
      </w:r>
    </w:p>
    <w:p w14:paraId="0D243F8D" w14:textId="77777777" w:rsidR="00AC6719" w:rsidRDefault="00AC6719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4BE6128E" w14:textId="6F34DF78" w:rsidR="00AC6719" w:rsidRPr="00735503" w:rsidRDefault="00E82975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 nasprotnem primeru, ko bo d</w:t>
      </w:r>
      <w:r w:rsidR="00AC6719">
        <w:rPr>
          <w:rFonts w:cs="Arial"/>
          <w:szCs w:val="20"/>
          <w:lang w:val="sl-SI" w:eastAsia="sl-SI"/>
        </w:rPr>
        <w:t>avčni zavezanec, ki ima sedež v drugi državi članici</w:t>
      </w:r>
      <w:r>
        <w:rPr>
          <w:rFonts w:cs="Arial"/>
          <w:szCs w:val="20"/>
          <w:lang w:val="sl-SI" w:eastAsia="sl-SI"/>
        </w:rPr>
        <w:t>,</w:t>
      </w:r>
      <w:r w:rsidR="00AC6719">
        <w:rPr>
          <w:rFonts w:cs="Arial"/>
          <w:szCs w:val="20"/>
          <w:lang w:val="sl-SI" w:eastAsia="sl-SI"/>
        </w:rPr>
        <w:t xml:space="preserve"> želel uporabljati oprostitev v Sloveniji, bo moral </w:t>
      </w:r>
      <w:r w:rsidR="006659FF">
        <w:rPr>
          <w:rFonts w:cs="Arial"/>
          <w:szCs w:val="20"/>
          <w:lang w:val="sl-SI" w:eastAsia="sl-SI"/>
        </w:rPr>
        <w:t xml:space="preserve">o tem </w:t>
      </w:r>
      <w:r w:rsidR="00AC6719">
        <w:rPr>
          <w:rFonts w:cs="Arial"/>
          <w:szCs w:val="20"/>
          <w:lang w:val="sl-SI" w:eastAsia="sl-SI"/>
        </w:rPr>
        <w:t xml:space="preserve">obvestiti državo članico, v kateri ima sedež. Država članica sedeža bo davčnemu organu posredovala elektronsko sporočilo o nameri davčnega zavezanca, da želi </w:t>
      </w:r>
      <w:r w:rsidR="003D15EE">
        <w:rPr>
          <w:rFonts w:cs="Arial"/>
          <w:szCs w:val="20"/>
          <w:lang w:val="sl-SI" w:eastAsia="sl-SI"/>
        </w:rPr>
        <w:t xml:space="preserve">davčni zavezanec uporabiti oprostitev obračunavanja DDV v </w:t>
      </w:r>
      <w:r w:rsidR="003D15EE">
        <w:rPr>
          <w:rFonts w:cs="Arial"/>
          <w:szCs w:val="20"/>
          <w:lang w:val="sl-SI" w:eastAsia="sl-SI"/>
        </w:rPr>
        <w:lastRenderedPageBreak/>
        <w:t xml:space="preserve">Sloveniji, pod pogojem, da </w:t>
      </w:r>
      <w:r w:rsidR="00121323">
        <w:rPr>
          <w:rFonts w:cs="Arial"/>
          <w:szCs w:val="20"/>
          <w:lang w:val="sl-SI" w:eastAsia="sl-SI"/>
        </w:rPr>
        <w:t xml:space="preserve">ta </w:t>
      </w:r>
      <w:r w:rsidR="003D15EE">
        <w:rPr>
          <w:rFonts w:cs="Arial"/>
          <w:szCs w:val="20"/>
          <w:lang w:val="sl-SI" w:eastAsia="sl-SI"/>
        </w:rPr>
        <w:t xml:space="preserve">davčni zavezanec ni presegel unijskega praga v tekočem koledarskem letu niti v preteklem koledarskem letu. Davčni organ bo o izpolnjevanju pogojev glede slovenskega praga za oprostitev obvestil državo članico sedeža, ki bo davčnemu zavezancu dodelila </w:t>
      </w:r>
      <w:r w:rsidR="00CB1832">
        <w:rPr>
          <w:rFonts w:cs="Arial"/>
          <w:szCs w:val="20"/>
          <w:lang w:val="sl-SI" w:eastAsia="sl-SI"/>
        </w:rPr>
        <w:t xml:space="preserve">ali zavrnila dodelitev </w:t>
      </w:r>
      <w:r w:rsidR="003D15EE">
        <w:rPr>
          <w:rFonts w:cs="Arial"/>
          <w:szCs w:val="20"/>
          <w:lang w:val="sl-SI" w:eastAsia="sl-SI"/>
        </w:rPr>
        <w:t>posamičn</w:t>
      </w:r>
      <w:r w:rsidR="00CB1832">
        <w:rPr>
          <w:rFonts w:cs="Arial"/>
          <w:szCs w:val="20"/>
          <w:lang w:val="sl-SI" w:eastAsia="sl-SI"/>
        </w:rPr>
        <w:t>e</w:t>
      </w:r>
      <w:r w:rsidR="003D15EE">
        <w:rPr>
          <w:rFonts w:cs="Arial"/>
          <w:szCs w:val="20"/>
          <w:lang w:val="sl-SI" w:eastAsia="sl-SI"/>
        </w:rPr>
        <w:t xml:space="preserve"> identifikacijsk</w:t>
      </w:r>
      <w:r w:rsidR="00CB1832">
        <w:rPr>
          <w:rFonts w:cs="Arial"/>
          <w:szCs w:val="20"/>
          <w:lang w:val="sl-SI" w:eastAsia="sl-SI"/>
        </w:rPr>
        <w:t>e</w:t>
      </w:r>
      <w:r w:rsidR="003D15EE">
        <w:rPr>
          <w:rFonts w:cs="Arial"/>
          <w:szCs w:val="20"/>
          <w:lang w:val="sl-SI" w:eastAsia="sl-SI"/>
        </w:rPr>
        <w:t xml:space="preserve"> številk</w:t>
      </w:r>
      <w:r w:rsidR="00CB1832">
        <w:rPr>
          <w:rFonts w:cs="Arial"/>
          <w:szCs w:val="20"/>
          <w:lang w:val="sl-SI" w:eastAsia="sl-SI"/>
        </w:rPr>
        <w:t xml:space="preserve">e za uporabo čezmejne SME ureditve </w:t>
      </w:r>
      <w:r w:rsidR="003D15EE">
        <w:rPr>
          <w:rFonts w:cs="Arial"/>
          <w:szCs w:val="20"/>
          <w:lang w:val="sl-SI" w:eastAsia="sl-SI"/>
        </w:rPr>
        <w:t xml:space="preserve">in glede na odgovor </w:t>
      </w:r>
      <w:r w:rsidR="00CB1832">
        <w:rPr>
          <w:rFonts w:cs="Arial"/>
          <w:szCs w:val="20"/>
          <w:lang w:val="sl-SI" w:eastAsia="sl-SI"/>
        </w:rPr>
        <w:t>s</w:t>
      </w:r>
      <w:r w:rsidR="003D15EE">
        <w:rPr>
          <w:rFonts w:cs="Arial"/>
          <w:szCs w:val="20"/>
          <w:lang w:val="sl-SI" w:eastAsia="sl-SI"/>
        </w:rPr>
        <w:t>loven</w:t>
      </w:r>
      <w:r w:rsidR="00CB1832">
        <w:rPr>
          <w:rFonts w:cs="Arial"/>
          <w:szCs w:val="20"/>
          <w:lang w:val="sl-SI" w:eastAsia="sl-SI"/>
        </w:rPr>
        <w:t>skega davčnega organa</w:t>
      </w:r>
      <w:r w:rsidR="003D15EE">
        <w:rPr>
          <w:rFonts w:cs="Arial"/>
          <w:szCs w:val="20"/>
          <w:lang w:val="sl-SI" w:eastAsia="sl-SI"/>
        </w:rPr>
        <w:t xml:space="preserve"> potrdila ali zavrnila uporabo </w:t>
      </w:r>
      <w:r w:rsidR="00CB1832">
        <w:rPr>
          <w:rFonts w:cs="Arial"/>
          <w:szCs w:val="20"/>
          <w:lang w:val="sl-SI" w:eastAsia="sl-SI"/>
        </w:rPr>
        <w:t>te številke za Slovenijo.</w:t>
      </w:r>
    </w:p>
    <w:p w14:paraId="51809C69" w14:textId="77777777" w:rsidR="00B21C92" w:rsidRPr="00735503" w:rsidRDefault="00B21C92" w:rsidP="00B21C92">
      <w:pPr>
        <w:spacing w:line="260" w:lineRule="exact"/>
        <w:jc w:val="both"/>
        <w:rPr>
          <w:rFonts w:cs="Arial"/>
          <w:szCs w:val="20"/>
          <w:lang w:val="sl-SI" w:eastAsia="sl-SI"/>
        </w:rPr>
      </w:pPr>
    </w:p>
    <w:p w14:paraId="5D507CD6" w14:textId="77777777" w:rsidR="00B21C92" w:rsidRPr="00300EDF" w:rsidRDefault="00B21C92" w:rsidP="00B21C92">
      <w:pPr>
        <w:spacing w:line="260" w:lineRule="exact"/>
        <w:jc w:val="both"/>
        <w:rPr>
          <w:rFonts w:cs="Arial"/>
          <w:szCs w:val="20"/>
          <w:lang w:val="sl-SI"/>
        </w:rPr>
      </w:pPr>
    </w:p>
    <w:p w14:paraId="70185BCD" w14:textId="77777777" w:rsidR="00B21C92" w:rsidRPr="00735503" w:rsidRDefault="00B21C92" w:rsidP="00B21C92">
      <w:pPr>
        <w:spacing w:line="260" w:lineRule="exact"/>
        <w:jc w:val="both"/>
        <w:rPr>
          <w:rFonts w:cs="Arial"/>
          <w:vanish/>
          <w:szCs w:val="20"/>
          <w:lang w:val="sl-SI" w:eastAsia="sl-SI"/>
        </w:rPr>
      </w:pPr>
    </w:p>
    <w:p w14:paraId="20D063F2" w14:textId="7596F1AF" w:rsidR="00DF3BEE" w:rsidRDefault="00DF3BEE" w:rsidP="00300EDF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36DD5F1" w14:textId="77777777" w:rsidR="0018097B" w:rsidRDefault="0018097B" w:rsidP="00966BFA">
      <w:pPr>
        <w:tabs>
          <w:tab w:val="left" w:pos="2865"/>
        </w:tabs>
        <w:jc w:val="both"/>
        <w:rPr>
          <w:lang w:val="sl-SI"/>
        </w:rPr>
      </w:pPr>
    </w:p>
    <w:p w14:paraId="7328EE86" w14:textId="77777777" w:rsidR="00F213C7" w:rsidRDefault="00F213C7" w:rsidP="0018097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240863B" w14:textId="77777777" w:rsidR="00F213C7" w:rsidRPr="00300EDF" w:rsidRDefault="00F213C7" w:rsidP="0018097B">
      <w:pPr>
        <w:spacing w:line="260" w:lineRule="exact"/>
        <w:jc w:val="both"/>
        <w:rPr>
          <w:rFonts w:cs="Arial"/>
          <w:szCs w:val="20"/>
          <w:lang w:val="sl-SI"/>
        </w:rPr>
      </w:pPr>
    </w:p>
    <w:p w14:paraId="7F63B028" w14:textId="77777777" w:rsidR="0018097B" w:rsidRPr="00655496" w:rsidRDefault="0018097B" w:rsidP="00966BFA">
      <w:pPr>
        <w:tabs>
          <w:tab w:val="left" w:pos="2865"/>
        </w:tabs>
        <w:jc w:val="both"/>
        <w:rPr>
          <w:lang w:val="sl-SI"/>
        </w:rPr>
      </w:pPr>
    </w:p>
    <w:sectPr w:rsidR="0018097B" w:rsidRPr="00655496" w:rsidSect="00783310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75A5" w14:textId="77777777" w:rsidR="00D04BF2" w:rsidRDefault="00D04BF2">
      <w:r>
        <w:separator/>
      </w:r>
    </w:p>
  </w:endnote>
  <w:endnote w:type="continuationSeparator" w:id="0">
    <w:p w14:paraId="68577B04" w14:textId="77777777" w:rsidR="00D04BF2" w:rsidRDefault="00D0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panose1 w:val="020008060300000200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1437" w14:textId="46EB3FAE" w:rsidR="00115A8D" w:rsidRDefault="00115A8D" w:rsidP="009F30FB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5E715B" w:rsidRPr="005E715B">
      <w:rPr>
        <w:noProof/>
        <w:lang w:val="sl-SI"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4BD3" w14:textId="77777777" w:rsidR="00115A8D" w:rsidRDefault="00115A8D" w:rsidP="00751D38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619F" w14:textId="77777777" w:rsidR="00D04BF2" w:rsidRDefault="00D04BF2">
      <w:r>
        <w:separator/>
      </w:r>
    </w:p>
  </w:footnote>
  <w:footnote w:type="continuationSeparator" w:id="0">
    <w:p w14:paraId="25A498D2" w14:textId="77777777" w:rsidR="00D04BF2" w:rsidRDefault="00D0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A1F0" w14:textId="77777777" w:rsidR="00115A8D" w:rsidRPr="00110CBD" w:rsidRDefault="00115A8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15A8D" w:rsidRPr="008F3500" w14:paraId="5A9E14A6" w14:textId="77777777">
      <w:trPr>
        <w:cantSplit/>
        <w:trHeight w:hRule="exact" w:val="847"/>
      </w:trPr>
      <w:tc>
        <w:tcPr>
          <w:tcW w:w="567" w:type="dxa"/>
        </w:tcPr>
        <w:p w14:paraId="6A4F55E9" w14:textId="77777777" w:rsidR="00115A8D" w:rsidRDefault="00115A8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09FC721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CA6FDA8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5DC024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10D92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9245E0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8F5FD1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5BACAA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FBEA7F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5FE3FA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B9BF7E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F41E2A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35FF7C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9703CD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799B73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74D6BAA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02806EA" w14:textId="77777777" w:rsidR="00115A8D" w:rsidRPr="006D42D9" w:rsidRDefault="00115A8D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7D8B15BE" w14:textId="77777777" w:rsidR="00115A8D" w:rsidRPr="008F3500" w:rsidRDefault="00170CF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DFF47AE" wp14:editId="256DD965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CC526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115A8D" w:rsidRPr="008F3500">
      <w:rPr>
        <w:rFonts w:ascii="Republika" w:hAnsi="Republika"/>
        <w:lang w:val="sl-SI"/>
      </w:rPr>
      <w:t>REPUBLIKA SLOVENIJA</w:t>
    </w:r>
  </w:p>
  <w:p w14:paraId="5BCE1A60" w14:textId="77777777" w:rsidR="00115A8D" w:rsidRPr="008F3500" w:rsidRDefault="00115A8D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finance</w:t>
    </w:r>
  </w:p>
  <w:p w14:paraId="0CD6B490" w14:textId="77777777" w:rsidR="00115A8D" w:rsidRDefault="00115A8D" w:rsidP="00ED7E82">
    <w:pPr>
      <w:pStyle w:val="Glava"/>
      <w:tabs>
        <w:tab w:val="clear" w:pos="4320"/>
        <w:tab w:val="clear" w:pos="8640"/>
        <w:tab w:val="left" w:pos="5112"/>
      </w:tabs>
      <w:spacing w:before="120"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FINANČNA uprava Republike Slovenije</w:t>
    </w:r>
  </w:p>
  <w:p w14:paraId="23D9AA11" w14:textId="77777777" w:rsidR="00115A8D" w:rsidRPr="008F3500" w:rsidRDefault="00115A8D" w:rsidP="00ED7E82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Šmartinska cesta 55, p.</w:t>
    </w:r>
    <w:r w:rsidR="00030595">
      <w:rPr>
        <w:rFonts w:cs="Arial"/>
        <w:sz w:val="16"/>
        <w:lang w:val="sl-SI"/>
      </w:rPr>
      <w:t xml:space="preserve"> </w:t>
    </w:r>
    <w:r>
      <w:rPr>
        <w:rFonts w:cs="Arial"/>
        <w:sz w:val="16"/>
        <w:lang w:val="sl-SI"/>
      </w:rPr>
      <w:t>p. 631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01 478 38 00</w:t>
    </w:r>
  </w:p>
  <w:p w14:paraId="705E1907" w14:textId="77777777" w:rsidR="00115A8D" w:rsidRPr="008F3500" w:rsidRDefault="00115A8D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01 478 39 00</w:t>
    </w:r>
    <w:r w:rsidRPr="008F3500">
      <w:rPr>
        <w:rFonts w:cs="Arial"/>
        <w:sz w:val="16"/>
        <w:lang w:val="sl-SI"/>
      </w:rPr>
      <w:t xml:space="preserve"> </w:t>
    </w:r>
  </w:p>
  <w:p w14:paraId="64F30CFD" w14:textId="77777777" w:rsidR="00115A8D" w:rsidRPr="008F3500" w:rsidRDefault="00115A8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gfu.fu@gov.si</w:t>
    </w:r>
  </w:p>
  <w:p w14:paraId="5B463208" w14:textId="77777777" w:rsidR="00115A8D" w:rsidRPr="008F3500" w:rsidRDefault="00115A8D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www.fu.gov.si</w:t>
    </w:r>
  </w:p>
  <w:p w14:paraId="2EFA3ADE" w14:textId="77777777" w:rsidR="00115A8D" w:rsidRPr="008F3500" w:rsidRDefault="00115A8D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1C"/>
    <w:multiLevelType w:val="hybridMultilevel"/>
    <w:tmpl w:val="2B8279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623B"/>
    <w:multiLevelType w:val="hybridMultilevel"/>
    <w:tmpl w:val="71CC28BE"/>
    <w:lvl w:ilvl="0" w:tplc="D85CF826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" w15:restartNumberingAfterBreak="0">
    <w:nsid w:val="03C70BF6"/>
    <w:multiLevelType w:val="hybridMultilevel"/>
    <w:tmpl w:val="C77EDFC6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5CA6"/>
    <w:multiLevelType w:val="hybridMultilevel"/>
    <w:tmpl w:val="B87E546C"/>
    <w:lvl w:ilvl="0" w:tplc="3F2C0F6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67" w:hanging="360"/>
      </w:pPr>
    </w:lvl>
    <w:lvl w:ilvl="2" w:tplc="0424001B" w:tentative="1">
      <w:start w:val="1"/>
      <w:numFmt w:val="lowerRoman"/>
      <w:lvlText w:val="%3."/>
      <w:lvlJc w:val="right"/>
      <w:pPr>
        <w:ind w:left="3087" w:hanging="180"/>
      </w:pPr>
    </w:lvl>
    <w:lvl w:ilvl="3" w:tplc="0424000F" w:tentative="1">
      <w:start w:val="1"/>
      <w:numFmt w:val="decimal"/>
      <w:lvlText w:val="%4."/>
      <w:lvlJc w:val="left"/>
      <w:pPr>
        <w:ind w:left="3807" w:hanging="360"/>
      </w:pPr>
    </w:lvl>
    <w:lvl w:ilvl="4" w:tplc="04240019" w:tentative="1">
      <w:start w:val="1"/>
      <w:numFmt w:val="lowerLetter"/>
      <w:lvlText w:val="%5."/>
      <w:lvlJc w:val="left"/>
      <w:pPr>
        <w:ind w:left="4527" w:hanging="360"/>
      </w:pPr>
    </w:lvl>
    <w:lvl w:ilvl="5" w:tplc="0424001B" w:tentative="1">
      <w:start w:val="1"/>
      <w:numFmt w:val="lowerRoman"/>
      <w:lvlText w:val="%6."/>
      <w:lvlJc w:val="right"/>
      <w:pPr>
        <w:ind w:left="5247" w:hanging="180"/>
      </w:pPr>
    </w:lvl>
    <w:lvl w:ilvl="6" w:tplc="0424000F" w:tentative="1">
      <w:start w:val="1"/>
      <w:numFmt w:val="decimal"/>
      <w:lvlText w:val="%7."/>
      <w:lvlJc w:val="left"/>
      <w:pPr>
        <w:ind w:left="5967" w:hanging="360"/>
      </w:pPr>
    </w:lvl>
    <w:lvl w:ilvl="7" w:tplc="04240019" w:tentative="1">
      <w:start w:val="1"/>
      <w:numFmt w:val="lowerLetter"/>
      <w:lvlText w:val="%8."/>
      <w:lvlJc w:val="left"/>
      <w:pPr>
        <w:ind w:left="6687" w:hanging="360"/>
      </w:pPr>
    </w:lvl>
    <w:lvl w:ilvl="8" w:tplc="0424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C1656"/>
    <w:multiLevelType w:val="hybridMultilevel"/>
    <w:tmpl w:val="D1BEFF3A"/>
    <w:lvl w:ilvl="0" w:tplc="2132B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F6EF8"/>
    <w:multiLevelType w:val="hybridMultilevel"/>
    <w:tmpl w:val="DA8CB476"/>
    <w:lvl w:ilvl="0" w:tplc="CA86F744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4CA9"/>
    <w:multiLevelType w:val="hybridMultilevel"/>
    <w:tmpl w:val="63A07A06"/>
    <w:lvl w:ilvl="0" w:tplc="25548760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924E4"/>
    <w:multiLevelType w:val="hybridMultilevel"/>
    <w:tmpl w:val="E4648E64"/>
    <w:lvl w:ilvl="0" w:tplc="F8FC611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E1986"/>
    <w:multiLevelType w:val="multilevel"/>
    <w:tmpl w:val="C0C2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D97CE7"/>
    <w:multiLevelType w:val="hybridMultilevel"/>
    <w:tmpl w:val="D078268C"/>
    <w:lvl w:ilvl="0" w:tplc="C934447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0F4E"/>
    <w:multiLevelType w:val="multilevel"/>
    <w:tmpl w:val="A7ECA3D6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E75C03"/>
    <w:multiLevelType w:val="hybridMultilevel"/>
    <w:tmpl w:val="D7E63CE2"/>
    <w:lvl w:ilvl="0" w:tplc="52B2F2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E6279"/>
    <w:multiLevelType w:val="multilevel"/>
    <w:tmpl w:val="07D4B01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E24B46"/>
    <w:multiLevelType w:val="hybridMultilevel"/>
    <w:tmpl w:val="1660E39C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1345F6"/>
    <w:multiLevelType w:val="hybridMultilevel"/>
    <w:tmpl w:val="C5B446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52F20"/>
    <w:multiLevelType w:val="hybridMultilevel"/>
    <w:tmpl w:val="53E4C924"/>
    <w:lvl w:ilvl="0" w:tplc="4406E8B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057127"/>
    <w:multiLevelType w:val="hybridMultilevel"/>
    <w:tmpl w:val="92CE5CA6"/>
    <w:lvl w:ilvl="0" w:tplc="92FC75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373845"/>
    <w:multiLevelType w:val="hybridMultilevel"/>
    <w:tmpl w:val="CA746956"/>
    <w:lvl w:ilvl="0" w:tplc="92FC7576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8410C6"/>
    <w:multiLevelType w:val="hybridMultilevel"/>
    <w:tmpl w:val="DBDAB66E"/>
    <w:lvl w:ilvl="0" w:tplc="F378D2D6">
      <w:start w:val="25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>
      <w:start w:val="1"/>
      <w:numFmt w:val="lowerRoman"/>
      <w:lvlText w:val="%3."/>
      <w:lvlJc w:val="right"/>
      <w:pPr>
        <w:ind w:left="2084" w:hanging="180"/>
      </w:pPr>
    </w:lvl>
    <w:lvl w:ilvl="3" w:tplc="0424000F">
      <w:start w:val="1"/>
      <w:numFmt w:val="decimal"/>
      <w:lvlText w:val="%4."/>
      <w:lvlJc w:val="left"/>
      <w:pPr>
        <w:ind w:left="2804" w:hanging="360"/>
      </w:pPr>
    </w:lvl>
    <w:lvl w:ilvl="4" w:tplc="04240019">
      <w:start w:val="1"/>
      <w:numFmt w:val="lowerLetter"/>
      <w:lvlText w:val="%5."/>
      <w:lvlJc w:val="left"/>
      <w:pPr>
        <w:ind w:left="3524" w:hanging="360"/>
      </w:pPr>
    </w:lvl>
    <w:lvl w:ilvl="5" w:tplc="0424001B">
      <w:start w:val="1"/>
      <w:numFmt w:val="lowerRoman"/>
      <w:lvlText w:val="%6."/>
      <w:lvlJc w:val="right"/>
      <w:pPr>
        <w:ind w:left="4244" w:hanging="180"/>
      </w:pPr>
    </w:lvl>
    <w:lvl w:ilvl="6" w:tplc="0424000F">
      <w:start w:val="1"/>
      <w:numFmt w:val="decimal"/>
      <w:lvlText w:val="%7."/>
      <w:lvlJc w:val="left"/>
      <w:pPr>
        <w:ind w:left="4964" w:hanging="360"/>
      </w:pPr>
    </w:lvl>
    <w:lvl w:ilvl="7" w:tplc="04240019">
      <w:start w:val="1"/>
      <w:numFmt w:val="lowerLetter"/>
      <w:lvlText w:val="%8."/>
      <w:lvlJc w:val="left"/>
      <w:pPr>
        <w:ind w:left="5684" w:hanging="360"/>
      </w:pPr>
    </w:lvl>
    <w:lvl w:ilvl="8" w:tplc="0424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13B2B"/>
    <w:multiLevelType w:val="hybridMultilevel"/>
    <w:tmpl w:val="4B70864E"/>
    <w:lvl w:ilvl="0" w:tplc="D85CF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D43E4"/>
    <w:multiLevelType w:val="hybridMultilevel"/>
    <w:tmpl w:val="2B0A9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F5851"/>
    <w:multiLevelType w:val="hybridMultilevel"/>
    <w:tmpl w:val="B23C45A4"/>
    <w:lvl w:ilvl="0" w:tplc="DA662ADE">
      <w:start w:val="1"/>
      <w:numFmt w:val="decimal"/>
      <w:pStyle w:val="Naslov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5C1171"/>
    <w:multiLevelType w:val="hybridMultilevel"/>
    <w:tmpl w:val="841CB5DA"/>
    <w:lvl w:ilvl="0" w:tplc="F312AE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530A9A"/>
    <w:multiLevelType w:val="multilevel"/>
    <w:tmpl w:val="C906A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11345A"/>
    <w:multiLevelType w:val="hybridMultilevel"/>
    <w:tmpl w:val="2258E65E"/>
    <w:lvl w:ilvl="0" w:tplc="04240011">
      <w:start w:val="1"/>
      <w:numFmt w:val="decimal"/>
      <w:lvlText w:val="%1)"/>
      <w:lvlJc w:val="left"/>
      <w:pPr>
        <w:ind w:left="1778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01F7"/>
    <w:multiLevelType w:val="hybridMultilevel"/>
    <w:tmpl w:val="5A40C1D6"/>
    <w:lvl w:ilvl="0" w:tplc="393657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14AFB"/>
    <w:multiLevelType w:val="hybridMultilevel"/>
    <w:tmpl w:val="7256C29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588022">
    <w:abstractNumId w:val="28"/>
  </w:num>
  <w:num w:numId="2" w16cid:durableId="1264991925">
    <w:abstractNumId w:val="11"/>
  </w:num>
  <w:num w:numId="3" w16cid:durableId="471603152">
    <w:abstractNumId w:val="22"/>
  </w:num>
  <w:num w:numId="4" w16cid:durableId="1203128759">
    <w:abstractNumId w:val="4"/>
  </w:num>
  <w:num w:numId="5" w16cid:durableId="90666773">
    <w:abstractNumId w:val="5"/>
  </w:num>
  <w:num w:numId="6" w16cid:durableId="1257053963">
    <w:abstractNumId w:val="15"/>
  </w:num>
  <w:num w:numId="7" w16cid:durableId="543561560">
    <w:abstractNumId w:val="10"/>
  </w:num>
  <w:num w:numId="8" w16cid:durableId="1907645898">
    <w:abstractNumId w:val="19"/>
  </w:num>
  <w:num w:numId="9" w16cid:durableId="164364864">
    <w:abstractNumId w:val="9"/>
  </w:num>
  <w:num w:numId="10" w16cid:durableId="368647246">
    <w:abstractNumId w:val="2"/>
  </w:num>
  <w:num w:numId="11" w16cid:durableId="19913286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546717">
    <w:abstractNumId w:val="18"/>
  </w:num>
  <w:num w:numId="13" w16cid:durableId="228274476">
    <w:abstractNumId w:val="0"/>
  </w:num>
  <w:num w:numId="14" w16cid:durableId="10437465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2045322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6524400">
    <w:abstractNumId w:val="16"/>
  </w:num>
  <w:num w:numId="17" w16cid:durableId="63186936">
    <w:abstractNumId w:val="16"/>
  </w:num>
  <w:num w:numId="18" w16cid:durableId="1767185546">
    <w:abstractNumId w:val="14"/>
  </w:num>
  <w:num w:numId="19" w16cid:durableId="1306205776">
    <w:abstractNumId w:val="25"/>
  </w:num>
  <w:num w:numId="20" w16cid:durableId="945187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821399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66836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2993128">
    <w:abstractNumId w:val="12"/>
  </w:num>
  <w:num w:numId="24" w16cid:durableId="1475442816">
    <w:abstractNumId w:val="20"/>
  </w:num>
  <w:num w:numId="25" w16cid:durableId="283846578">
    <w:abstractNumId w:val="3"/>
  </w:num>
  <w:num w:numId="26" w16cid:durableId="1811553923">
    <w:abstractNumId w:val="8"/>
  </w:num>
  <w:num w:numId="27" w16cid:durableId="2020038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0022031">
    <w:abstractNumId w:val="29"/>
  </w:num>
  <w:num w:numId="29" w16cid:durableId="1267694662">
    <w:abstractNumId w:val="23"/>
  </w:num>
  <w:num w:numId="30" w16cid:durableId="147133884">
    <w:abstractNumId w:val="6"/>
  </w:num>
  <w:num w:numId="31" w16cid:durableId="749693822">
    <w:abstractNumId w:val="1"/>
  </w:num>
  <w:num w:numId="32" w16cid:durableId="815071705">
    <w:abstractNumId w:val="30"/>
  </w:num>
  <w:num w:numId="33" w16cid:durableId="1532378375">
    <w:abstractNumId w:val="24"/>
  </w:num>
  <w:num w:numId="34" w16cid:durableId="308554817">
    <w:abstractNumId w:val="26"/>
  </w:num>
  <w:num w:numId="35" w16cid:durableId="1898004611">
    <w:abstractNumId w:val="27"/>
  </w:num>
  <w:num w:numId="36" w16cid:durableId="1896505293">
    <w:abstractNumId w:val="13"/>
  </w:num>
  <w:num w:numId="37" w16cid:durableId="10597431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readOnly" w:enforcement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5FF"/>
    <w:rsid w:val="000063FF"/>
    <w:rsid w:val="000213A7"/>
    <w:rsid w:val="00021AF0"/>
    <w:rsid w:val="00023A88"/>
    <w:rsid w:val="00027C34"/>
    <w:rsid w:val="00030595"/>
    <w:rsid w:val="00030608"/>
    <w:rsid w:val="00042D06"/>
    <w:rsid w:val="0004417B"/>
    <w:rsid w:val="000517B6"/>
    <w:rsid w:val="00062322"/>
    <w:rsid w:val="000626AC"/>
    <w:rsid w:val="00063367"/>
    <w:rsid w:val="00066732"/>
    <w:rsid w:val="00070B55"/>
    <w:rsid w:val="00077F19"/>
    <w:rsid w:val="000805EA"/>
    <w:rsid w:val="00082FB2"/>
    <w:rsid w:val="0008352D"/>
    <w:rsid w:val="00086F9B"/>
    <w:rsid w:val="00097845"/>
    <w:rsid w:val="000A488B"/>
    <w:rsid w:val="000A7238"/>
    <w:rsid w:val="000B0B21"/>
    <w:rsid w:val="000B77AE"/>
    <w:rsid w:val="000C09B2"/>
    <w:rsid w:val="000C0A60"/>
    <w:rsid w:val="000C203D"/>
    <w:rsid w:val="000C2273"/>
    <w:rsid w:val="000C7716"/>
    <w:rsid w:val="000D12B9"/>
    <w:rsid w:val="000E5DBC"/>
    <w:rsid w:val="000F284D"/>
    <w:rsid w:val="00104DB1"/>
    <w:rsid w:val="001055D7"/>
    <w:rsid w:val="001125CB"/>
    <w:rsid w:val="00115A8D"/>
    <w:rsid w:val="00116E23"/>
    <w:rsid w:val="00121323"/>
    <w:rsid w:val="001257B5"/>
    <w:rsid w:val="001357B2"/>
    <w:rsid w:val="00136225"/>
    <w:rsid w:val="001460D5"/>
    <w:rsid w:val="00147AE5"/>
    <w:rsid w:val="00147EE3"/>
    <w:rsid w:val="0015500B"/>
    <w:rsid w:val="00157F68"/>
    <w:rsid w:val="00160A4F"/>
    <w:rsid w:val="00162F13"/>
    <w:rsid w:val="00167FAD"/>
    <w:rsid w:val="00170CF9"/>
    <w:rsid w:val="001768D2"/>
    <w:rsid w:val="001801FC"/>
    <w:rsid w:val="0018037C"/>
    <w:rsid w:val="0018097B"/>
    <w:rsid w:val="00184A53"/>
    <w:rsid w:val="00185D0C"/>
    <w:rsid w:val="001901B4"/>
    <w:rsid w:val="001964E3"/>
    <w:rsid w:val="001A2647"/>
    <w:rsid w:val="001A3431"/>
    <w:rsid w:val="001A3BA5"/>
    <w:rsid w:val="001B23B6"/>
    <w:rsid w:val="001B3A32"/>
    <w:rsid w:val="001B4C3E"/>
    <w:rsid w:val="001C2D67"/>
    <w:rsid w:val="001C32F6"/>
    <w:rsid w:val="001D225B"/>
    <w:rsid w:val="001F3BF0"/>
    <w:rsid w:val="001F4287"/>
    <w:rsid w:val="001F520D"/>
    <w:rsid w:val="001F7BC0"/>
    <w:rsid w:val="00202A77"/>
    <w:rsid w:val="002055D5"/>
    <w:rsid w:val="0021058D"/>
    <w:rsid w:val="00211623"/>
    <w:rsid w:val="002225BC"/>
    <w:rsid w:val="00222A5C"/>
    <w:rsid w:val="00224CD3"/>
    <w:rsid w:val="002302D9"/>
    <w:rsid w:val="00234FB3"/>
    <w:rsid w:val="00237D38"/>
    <w:rsid w:val="00243A5D"/>
    <w:rsid w:val="00246D35"/>
    <w:rsid w:val="00257E05"/>
    <w:rsid w:val="0026092C"/>
    <w:rsid w:val="00260DF3"/>
    <w:rsid w:val="002617CB"/>
    <w:rsid w:val="00271CE5"/>
    <w:rsid w:val="00276637"/>
    <w:rsid w:val="00282020"/>
    <w:rsid w:val="00294310"/>
    <w:rsid w:val="00295077"/>
    <w:rsid w:val="002957F3"/>
    <w:rsid w:val="002A10BD"/>
    <w:rsid w:val="002A4788"/>
    <w:rsid w:val="002A4ECF"/>
    <w:rsid w:val="002A5510"/>
    <w:rsid w:val="002D239C"/>
    <w:rsid w:val="002D526D"/>
    <w:rsid w:val="002E72E1"/>
    <w:rsid w:val="00300EDF"/>
    <w:rsid w:val="00313B33"/>
    <w:rsid w:val="003208B5"/>
    <w:rsid w:val="00321285"/>
    <w:rsid w:val="00325FB1"/>
    <w:rsid w:val="00342BA0"/>
    <w:rsid w:val="0034462F"/>
    <w:rsid w:val="00355EE7"/>
    <w:rsid w:val="0036017B"/>
    <w:rsid w:val="003636BF"/>
    <w:rsid w:val="00367120"/>
    <w:rsid w:val="00370AA7"/>
    <w:rsid w:val="00373860"/>
    <w:rsid w:val="003738C3"/>
    <w:rsid w:val="0037479F"/>
    <w:rsid w:val="003845B4"/>
    <w:rsid w:val="00385A0F"/>
    <w:rsid w:val="00387B1A"/>
    <w:rsid w:val="00390383"/>
    <w:rsid w:val="00393FA8"/>
    <w:rsid w:val="0039761E"/>
    <w:rsid w:val="003A20CB"/>
    <w:rsid w:val="003A3CED"/>
    <w:rsid w:val="003B7954"/>
    <w:rsid w:val="003C05E5"/>
    <w:rsid w:val="003C2751"/>
    <w:rsid w:val="003C5106"/>
    <w:rsid w:val="003C562E"/>
    <w:rsid w:val="003D013B"/>
    <w:rsid w:val="003D0D42"/>
    <w:rsid w:val="003D15EE"/>
    <w:rsid w:val="003D7C1A"/>
    <w:rsid w:val="003E1C74"/>
    <w:rsid w:val="003F00A8"/>
    <w:rsid w:val="003F063C"/>
    <w:rsid w:val="003F1764"/>
    <w:rsid w:val="0041521E"/>
    <w:rsid w:val="0041580B"/>
    <w:rsid w:val="004203FA"/>
    <w:rsid w:val="00424765"/>
    <w:rsid w:val="00435D2A"/>
    <w:rsid w:val="00447FAE"/>
    <w:rsid w:val="004539F2"/>
    <w:rsid w:val="004561A8"/>
    <w:rsid w:val="004674ED"/>
    <w:rsid w:val="0047495A"/>
    <w:rsid w:val="00474AC0"/>
    <w:rsid w:val="00477103"/>
    <w:rsid w:val="0047738D"/>
    <w:rsid w:val="004776D2"/>
    <w:rsid w:val="00481056"/>
    <w:rsid w:val="004850D5"/>
    <w:rsid w:val="00494673"/>
    <w:rsid w:val="00495D0B"/>
    <w:rsid w:val="00496C55"/>
    <w:rsid w:val="004A170B"/>
    <w:rsid w:val="004A2CFA"/>
    <w:rsid w:val="004B112D"/>
    <w:rsid w:val="004B5C94"/>
    <w:rsid w:val="004C409A"/>
    <w:rsid w:val="004C6999"/>
    <w:rsid w:val="004D000B"/>
    <w:rsid w:val="004D63EE"/>
    <w:rsid w:val="004E2A8E"/>
    <w:rsid w:val="004E697C"/>
    <w:rsid w:val="004E76C4"/>
    <w:rsid w:val="004F160B"/>
    <w:rsid w:val="004F6AB7"/>
    <w:rsid w:val="004F7FD5"/>
    <w:rsid w:val="00504AE7"/>
    <w:rsid w:val="00521B1E"/>
    <w:rsid w:val="00521CDE"/>
    <w:rsid w:val="00526246"/>
    <w:rsid w:val="00526385"/>
    <w:rsid w:val="00540EAB"/>
    <w:rsid w:val="00544C2A"/>
    <w:rsid w:val="00547028"/>
    <w:rsid w:val="00567106"/>
    <w:rsid w:val="00574F1B"/>
    <w:rsid w:val="00575219"/>
    <w:rsid w:val="00576514"/>
    <w:rsid w:val="00591C01"/>
    <w:rsid w:val="00594406"/>
    <w:rsid w:val="005950A0"/>
    <w:rsid w:val="00596D28"/>
    <w:rsid w:val="005A03A6"/>
    <w:rsid w:val="005A0CD2"/>
    <w:rsid w:val="005B2659"/>
    <w:rsid w:val="005B5CC0"/>
    <w:rsid w:val="005B5D45"/>
    <w:rsid w:val="005B78B5"/>
    <w:rsid w:val="005B7B5D"/>
    <w:rsid w:val="005D007C"/>
    <w:rsid w:val="005D4DF6"/>
    <w:rsid w:val="005D5EB2"/>
    <w:rsid w:val="005E1D3C"/>
    <w:rsid w:val="005E715B"/>
    <w:rsid w:val="00602C0E"/>
    <w:rsid w:val="006042AD"/>
    <w:rsid w:val="006260E7"/>
    <w:rsid w:val="00632253"/>
    <w:rsid w:val="00642714"/>
    <w:rsid w:val="00643C4E"/>
    <w:rsid w:val="006455CE"/>
    <w:rsid w:val="00647EFF"/>
    <w:rsid w:val="00654B78"/>
    <w:rsid w:val="00655496"/>
    <w:rsid w:val="00663E64"/>
    <w:rsid w:val="006659FF"/>
    <w:rsid w:val="00666FE7"/>
    <w:rsid w:val="00667BB9"/>
    <w:rsid w:val="006833FE"/>
    <w:rsid w:val="00685AFC"/>
    <w:rsid w:val="00693299"/>
    <w:rsid w:val="00694218"/>
    <w:rsid w:val="00696B23"/>
    <w:rsid w:val="006A1029"/>
    <w:rsid w:val="006A1CE7"/>
    <w:rsid w:val="006A4880"/>
    <w:rsid w:val="006B3530"/>
    <w:rsid w:val="006D2FCD"/>
    <w:rsid w:val="006D3797"/>
    <w:rsid w:val="006D42D9"/>
    <w:rsid w:val="006D5FAE"/>
    <w:rsid w:val="006D7DA3"/>
    <w:rsid w:val="006F215A"/>
    <w:rsid w:val="006F31D8"/>
    <w:rsid w:val="006F6DC4"/>
    <w:rsid w:val="00706EC9"/>
    <w:rsid w:val="007142AE"/>
    <w:rsid w:val="00716CFA"/>
    <w:rsid w:val="0072387A"/>
    <w:rsid w:val="00726463"/>
    <w:rsid w:val="00727A2F"/>
    <w:rsid w:val="00727CB3"/>
    <w:rsid w:val="00730B3D"/>
    <w:rsid w:val="00733017"/>
    <w:rsid w:val="00744ABF"/>
    <w:rsid w:val="00751D38"/>
    <w:rsid w:val="007540F5"/>
    <w:rsid w:val="00761626"/>
    <w:rsid w:val="007640E1"/>
    <w:rsid w:val="00767CC9"/>
    <w:rsid w:val="007719C1"/>
    <w:rsid w:val="00772211"/>
    <w:rsid w:val="00772917"/>
    <w:rsid w:val="0077393A"/>
    <w:rsid w:val="007769F4"/>
    <w:rsid w:val="00783310"/>
    <w:rsid w:val="00785B44"/>
    <w:rsid w:val="00786F29"/>
    <w:rsid w:val="007959DE"/>
    <w:rsid w:val="007A398B"/>
    <w:rsid w:val="007A4A6D"/>
    <w:rsid w:val="007B17E8"/>
    <w:rsid w:val="007B45F7"/>
    <w:rsid w:val="007B6F6E"/>
    <w:rsid w:val="007C53DF"/>
    <w:rsid w:val="007D1BCF"/>
    <w:rsid w:val="007D3B5D"/>
    <w:rsid w:val="007D42FC"/>
    <w:rsid w:val="007D75CF"/>
    <w:rsid w:val="007E105A"/>
    <w:rsid w:val="007E6DC5"/>
    <w:rsid w:val="007F6C0E"/>
    <w:rsid w:val="007F7802"/>
    <w:rsid w:val="008107A3"/>
    <w:rsid w:val="008111FB"/>
    <w:rsid w:val="008210D6"/>
    <w:rsid w:val="008228CD"/>
    <w:rsid w:val="00833045"/>
    <w:rsid w:val="00835F79"/>
    <w:rsid w:val="008531C8"/>
    <w:rsid w:val="008563AF"/>
    <w:rsid w:val="00860CF7"/>
    <w:rsid w:val="0086613A"/>
    <w:rsid w:val="00867DE6"/>
    <w:rsid w:val="00867EDF"/>
    <w:rsid w:val="00873CB3"/>
    <w:rsid w:val="00877274"/>
    <w:rsid w:val="0088043C"/>
    <w:rsid w:val="00886F49"/>
    <w:rsid w:val="00887E1E"/>
    <w:rsid w:val="008906C9"/>
    <w:rsid w:val="00893AB8"/>
    <w:rsid w:val="00893C9B"/>
    <w:rsid w:val="008A0A92"/>
    <w:rsid w:val="008B6D70"/>
    <w:rsid w:val="008C21F9"/>
    <w:rsid w:val="008C5738"/>
    <w:rsid w:val="008D04F0"/>
    <w:rsid w:val="008D0743"/>
    <w:rsid w:val="008D09E7"/>
    <w:rsid w:val="008D1B01"/>
    <w:rsid w:val="008D5F52"/>
    <w:rsid w:val="008E0ECC"/>
    <w:rsid w:val="008E17B5"/>
    <w:rsid w:val="008E1F96"/>
    <w:rsid w:val="008E2D1E"/>
    <w:rsid w:val="008F026E"/>
    <w:rsid w:val="008F3500"/>
    <w:rsid w:val="009002EB"/>
    <w:rsid w:val="00912A4C"/>
    <w:rsid w:val="00924E3C"/>
    <w:rsid w:val="00925CDF"/>
    <w:rsid w:val="0092798D"/>
    <w:rsid w:val="0093146C"/>
    <w:rsid w:val="0094152B"/>
    <w:rsid w:val="009477FA"/>
    <w:rsid w:val="00950369"/>
    <w:rsid w:val="009541F3"/>
    <w:rsid w:val="00955154"/>
    <w:rsid w:val="0095701C"/>
    <w:rsid w:val="009612BB"/>
    <w:rsid w:val="00966BFA"/>
    <w:rsid w:val="00972560"/>
    <w:rsid w:val="00983343"/>
    <w:rsid w:val="00984C17"/>
    <w:rsid w:val="00985CF7"/>
    <w:rsid w:val="00996B12"/>
    <w:rsid w:val="009C1AE3"/>
    <w:rsid w:val="009C7553"/>
    <w:rsid w:val="009E119E"/>
    <w:rsid w:val="009E6AC6"/>
    <w:rsid w:val="009E6C49"/>
    <w:rsid w:val="009F02F6"/>
    <w:rsid w:val="009F1E0E"/>
    <w:rsid w:val="009F1EBD"/>
    <w:rsid w:val="009F30FB"/>
    <w:rsid w:val="009F3915"/>
    <w:rsid w:val="00A000F2"/>
    <w:rsid w:val="00A033C2"/>
    <w:rsid w:val="00A06249"/>
    <w:rsid w:val="00A07216"/>
    <w:rsid w:val="00A11E79"/>
    <w:rsid w:val="00A125C5"/>
    <w:rsid w:val="00A12D5C"/>
    <w:rsid w:val="00A13190"/>
    <w:rsid w:val="00A156C0"/>
    <w:rsid w:val="00A17811"/>
    <w:rsid w:val="00A33D9D"/>
    <w:rsid w:val="00A3593C"/>
    <w:rsid w:val="00A35CA8"/>
    <w:rsid w:val="00A37DBB"/>
    <w:rsid w:val="00A445E7"/>
    <w:rsid w:val="00A5039D"/>
    <w:rsid w:val="00A61123"/>
    <w:rsid w:val="00A63530"/>
    <w:rsid w:val="00A63ED5"/>
    <w:rsid w:val="00A65EE7"/>
    <w:rsid w:val="00A70133"/>
    <w:rsid w:val="00A74D90"/>
    <w:rsid w:val="00A76647"/>
    <w:rsid w:val="00A9000E"/>
    <w:rsid w:val="00A95F40"/>
    <w:rsid w:val="00AA15EC"/>
    <w:rsid w:val="00AA2947"/>
    <w:rsid w:val="00AA6FB8"/>
    <w:rsid w:val="00AB1A6F"/>
    <w:rsid w:val="00AB72D5"/>
    <w:rsid w:val="00AC0809"/>
    <w:rsid w:val="00AC140B"/>
    <w:rsid w:val="00AC3C22"/>
    <w:rsid w:val="00AC4A03"/>
    <w:rsid w:val="00AC5C16"/>
    <w:rsid w:val="00AC6719"/>
    <w:rsid w:val="00AD2EB5"/>
    <w:rsid w:val="00AD53DC"/>
    <w:rsid w:val="00AE0FDC"/>
    <w:rsid w:val="00AE38C4"/>
    <w:rsid w:val="00AF48F7"/>
    <w:rsid w:val="00B00F72"/>
    <w:rsid w:val="00B0506E"/>
    <w:rsid w:val="00B0530C"/>
    <w:rsid w:val="00B1337D"/>
    <w:rsid w:val="00B17141"/>
    <w:rsid w:val="00B21C92"/>
    <w:rsid w:val="00B27607"/>
    <w:rsid w:val="00B31575"/>
    <w:rsid w:val="00B31ADF"/>
    <w:rsid w:val="00B323A5"/>
    <w:rsid w:val="00B47AF6"/>
    <w:rsid w:val="00B5024B"/>
    <w:rsid w:val="00B51A31"/>
    <w:rsid w:val="00B53904"/>
    <w:rsid w:val="00B60535"/>
    <w:rsid w:val="00B60681"/>
    <w:rsid w:val="00B63730"/>
    <w:rsid w:val="00B63BB9"/>
    <w:rsid w:val="00B67D97"/>
    <w:rsid w:val="00B70C82"/>
    <w:rsid w:val="00B71862"/>
    <w:rsid w:val="00B84017"/>
    <w:rsid w:val="00B8547D"/>
    <w:rsid w:val="00B873B3"/>
    <w:rsid w:val="00B87E15"/>
    <w:rsid w:val="00BB70C8"/>
    <w:rsid w:val="00BC1A78"/>
    <w:rsid w:val="00BC285A"/>
    <w:rsid w:val="00BC7711"/>
    <w:rsid w:val="00BE094A"/>
    <w:rsid w:val="00BE6082"/>
    <w:rsid w:val="00BE6CC9"/>
    <w:rsid w:val="00C068EC"/>
    <w:rsid w:val="00C13DCA"/>
    <w:rsid w:val="00C17E25"/>
    <w:rsid w:val="00C250D5"/>
    <w:rsid w:val="00C26636"/>
    <w:rsid w:val="00C4543F"/>
    <w:rsid w:val="00C45E7F"/>
    <w:rsid w:val="00C47F8D"/>
    <w:rsid w:val="00C535A4"/>
    <w:rsid w:val="00C610D4"/>
    <w:rsid w:val="00C62F2B"/>
    <w:rsid w:val="00C64874"/>
    <w:rsid w:val="00C703A2"/>
    <w:rsid w:val="00C7051D"/>
    <w:rsid w:val="00C76C9B"/>
    <w:rsid w:val="00C81391"/>
    <w:rsid w:val="00C90583"/>
    <w:rsid w:val="00C92898"/>
    <w:rsid w:val="00C93322"/>
    <w:rsid w:val="00CA2536"/>
    <w:rsid w:val="00CA25F2"/>
    <w:rsid w:val="00CA699D"/>
    <w:rsid w:val="00CB1832"/>
    <w:rsid w:val="00CB24F3"/>
    <w:rsid w:val="00CC179C"/>
    <w:rsid w:val="00CC3721"/>
    <w:rsid w:val="00CD0690"/>
    <w:rsid w:val="00CD3781"/>
    <w:rsid w:val="00CD4F19"/>
    <w:rsid w:val="00CE72B1"/>
    <w:rsid w:val="00CE7514"/>
    <w:rsid w:val="00CF3481"/>
    <w:rsid w:val="00D01BE6"/>
    <w:rsid w:val="00D04BF2"/>
    <w:rsid w:val="00D055CC"/>
    <w:rsid w:val="00D1077F"/>
    <w:rsid w:val="00D10970"/>
    <w:rsid w:val="00D12D84"/>
    <w:rsid w:val="00D1353F"/>
    <w:rsid w:val="00D248DE"/>
    <w:rsid w:val="00D25F05"/>
    <w:rsid w:val="00D34350"/>
    <w:rsid w:val="00D34CDD"/>
    <w:rsid w:val="00D3639F"/>
    <w:rsid w:val="00D52130"/>
    <w:rsid w:val="00D55595"/>
    <w:rsid w:val="00D5570E"/>
    <w:rsid w:val="00D6420C"/>
    <w:rsid w:val="00D70870"/>
    <w:rsid w:val="00D7297A"/>
    <w:rsid w:val="00D8542D"/>
    <w:rsid w:val="00D942D2"/>
    <w:rsid w:val="00D96D8E"/>
    <w:rsid w:val="00DA0A78"/>
    <w:rsid w:val="00DA2C9A"/>
    <w:rsid w:val="00DC3C73"/>
    <w:rsid w:val="00DC3CB9"/>
    <w:rsid w:val="00DC43AB"/>
    <w:rsid w:val="00DC592A"/>
    <w:rsid w:val="00DC6A71"/>
    <w:rsid w:val="00DE2E0C"/>
    <w:rsid w:val="00DE5B46"/>
    <w:rsid w:val="00DE60F6"/>
    <w:rsid w:val="00DF2306"/>
    <w:rsid w:val="00DF3BEE"/>
    <w:rsid w:val="00DF7E9D"/>
    <w:rsid w:val="00E015F9"/>
    <w:rsid w:val="00E01FF7"/>
    <w:rsid w:val="00E0357D"/>
    <w:rsid w:val="00E06480"/>
    <w:rsid w:val="00E146D9"/>
    <w:rsid w:val="00E20C80"/>
    <w:rsid w:val="00E24EC2"/>
    <w:rsid w:val="00E32A88"/>
    <w:rsid w:val="00E36AC3"/>
    <w:rsid w:val="00E4173B"/>
    <w:rsid w:val="00E459BC"/>
    <w:rsid w:val="00E46CCE"/>
    <w:rsid w:val="00E57198"/>
    <w:rsid w:val="00E572FE"/>
    <w:rsid w:val="00E636F2"/>
    <w:rsid w:val="00E7454D"/>
    <w:rsid w:val="00E77DAB"/>
    <w:rsid w:val="00E82975"/>
    <w:rsid w:val="00E853E8"/>
    <w:rsid w:val="00E8683A"/>
    <w:rsid w:val="00EA4B38"/>
    <w:rsid w:val="00EB5269"/>
    <w:rsid w:val="00EB739E"/>
    <w:rsid w:val="00EC18D3"/>
    <w:rsid w:val="00ED4163"/>
    <w:rsid w:val="00ED6A7F"/>
    <w:rsid w:val="00ED7304"/>
    <w:rsid w:val="00ED7E82"/>
    <w:rsid w:val="00EE6836"/>
    <w:rsid w:val="00EF6F23"/>
    <w:rsid w:val="00F00154"/>
    <w:rsid w:val="00F04999"/>
    <w:rsid w:val="00F079C5"/>
    <w:rsid w:val="00F11C41"/>
    <w:rsid w:val="00F12163"/>
    <w:rsid w:val="00F138C0"/>
    <w:rsid w:val="00F13AE0"/>
    <w:rsid w:val="00F14F6C"/>
    <w:rsid w:val="00F20A4F"/>
    <w:rsid w:val="00F213C7"/>
    <w:rsid w:val="00F240BB"/>
    <w:rsid w:val="00F2496D"/>
    <w:rsid w:val="00F320AF"/>
    <w:rsid w:val="00F431EA"/>
    <w:rsid w:val="00F46724"/>
    <w:rsid w:val="00F5593E"/>
    <w:rsid w:val="00F57FED"/>
    <w:rsid w:val="00F65056"/>
    <w:rsid w:val="00F674DD"/>
    <w:rsid w:val="00F754F7"/>
    <w:rsid w:val="00F75F95"/>
    <w:rsid w:val="00F825FF"/>
    <w:rsid w:val="00F907E8"/>
    <w:rsid w:val="00F95B75"/>
    <w:rsid w:val="00FA1084"/>
    <w:rsid w:val="00FB3762"/>
    <w:rsid w:val="00FB5733"/>
    <w:rsid w:val="00FB7EE8"/>
    <w:rsid w:val="00FC23BE"/>
    <w:rsid w:val="00FC3E2D"/>
    <w:rsid w:val="00FC3F8C"/>
    <w:rsid w:val="00FC7066"/>
    <w:rsid w:val="00FD2BEC"/>
    <w:rsid w:val="00FD4D70"/>
    <w:rsid w:val="00FE2C48"/>
    <w:rsid w:val="00FF3DA3"/>
    <w:rsid w:val="00FF4CA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73936EA"/>
  <w15:chartTrackingRefBased/>
  <w15:docId w15:val="{3821466B-62E8-4EA4-95CF-A69D306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F6AB7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541F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541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link w:val="podpisiZnak"/>
    <w:qFormat/>
    <w:rsid w:val="003E1C74"/>
    <w:pPr>
      <w:tabs>
        <w:tab w:val="left" w:pos="3402"/>
      </w:tabs>
    </w:pPr>
    <w:rPr>
      <w:lang w:val="it-IT"/>
    </w:rPr>
  </w:style>
  <w:style w:type="paragraph" w:customStyle="1" w:styleId="FURSnaslov1">
    <w:name w:val="FURS_naslov_1"/>
    <w:basedOn w:val="podpisi"/>
    <w:link w:val="FURSnaslov1Znak"/>
    <w:qFormat/>
    <w:rsid w:val="00CA699D"/>
    <w:rPr>
      <w:b/>
      <w:sz w:val="24"/>
      <w:lang w:val="sl-SI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A2C9A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</w:rPr>
  </w:style>
  <w:style w:type="character" w:customStyle="1" w:styleId="podpisiZnak">
    <w:name w:val="podpisi Znak"/>
    <w:link w:val="podpisi"/>
    <w:rsid w:val="00CA699D"/>
    <w:rPr>
      <w:rFonts w:ascii="Arial" w:hAnsi="Arial"/>
      <w:szCs w:val="24"/>
      <w:lang w:val="it-IT" w:eastAsia="en-US"/>
    </w:rPr>
  </w:style>
  <w:style w:type="character" w:customStyle="1" w:styleId="FURSnaslov1Znak">
    <w:name w:val="FURS_naslov_1 Znak"/>
    <w:link w:val="FURSnaslov1"/>
    <w:rsid w:val="00CA699D"/>
    <w:rPr>
      <w:rFonts w:ascii="Arial" w:hAnsi="Arial"/>
      <w:b/>
      <w:sz w:val="24"/>
      <w:szCs w:val="24"/>
      <w:lang w:val="it-IT" w:eastAsia="en-US"/>
    </w:rPr>
  </w:style>
  <w:style w:type="paragraph" w:styleId="Kazalovsebine1">
    <w:name w:val="toc 1"/>
    <w:basedOn w:val="Navaden"/>
    <w:next w:val="Navaden"/>
    <w:autoRedefine/>
    <w:uiPriority w:val="39"/>
    <w:qFormat/>
    <w:rsid w:val="009541F3"/>
    <w:pPr>
      <w:tabs>
        <w:tab w:val="right" w:leader="dot" w:pos="8488"/>
      </w:tabs>
      <w:ind w:left="284"/>
    </w:p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F079C5"/>
    <w:pPr>
      <w:tabs>
        <w:tab w:val="right" w:leader="dot" w:pos="8488"/>
      </w:tabs>
      <w:spacing w:line="276" w:lineRule="auto"/>
      <w:ind w:left="567"/>
    </w:pPr>
    <w:rPr>
      <w:rFonts w:ascii="Calibri" w:hAnsi="Calibri"/>
      <w:sz w:val="22"/>
      <w:szCs w:val="22"/>
      <w:lang w:val="sl-SI"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DA2C9A"/>
    <w:pPr>
      <w:spacing w:after="100" w:line="276" w:lineRule="auto"/>
      <w:ind w:left="440"/>
    </w:pPr>
    <w:rPr>
      <w:rFonts w:ascii="Calibri" w:hAnsi="Calibri"/>
      <w:sz w:val="22"/>
      <w:szCs w:val="22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rsid w:val="00DA2C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DA2C9A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link w:val="Naslov2"/>
    <w:semiHidden/>
    <w:rsid w:val="009541F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Znak">
    <w:name w:val="Naslov 3 Znak"/>
    <w:link w:val="Naslov3"/>
    <w:semiHidden/>
    <w:rsid w:val="009541F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ogaZnak">
    <w:name w:val="Noga Znak"/>
    <w:link w:val="Noga"/>
    <w:uiPriority w:val="99"/>
    <w:rsid w:val="009F30FB"/>
    <w:rPr>
      <w:rFonts w:ascii="Arial" w:hAnsi="Arial"/>
      <w:szCs w:val="24"/>
      <w:lang w:val="en-US" w:eastAsia="en-US"/>
    </w:rPr>
  </w:style>
  <w:style w:type="paragraph" w:customStyle="1" w:styleId="FURSnaslov2">
    <w:name w:val="FURS_naslov_2"/>
    <w:basedOn w:val="podpisi"/>
    <w:link w:val="FURSnaslov2Znak"/>
    <w:qFormat/>
    <w:rsid w:val="00F079C5"/>
    <w:rPr>
      <w:b/>
      <w:sz w:val="24"/>
      <w:lang w:val="sl-SI"/>
    </w:rPr>
  </w:style>
  <w:style w:type="character" w:styleId="SledenaHiperpovezava">
    <w:name w:val="FollowedHyperlink"/>
    <w:rsid w:val="00104DB1"/>
    <w:rPr>
      <w:color w:val="800080"/>
      <w:u w:val="single"/>
    </w:rPr>
  </w:style>
  <w:style w:type="character" w:customStyle="1" w:styleId="FURSnaslov2Znak">
    <w:name w:val="FURS_naslov_2 Znak"/>
    <w:link w:val="FURSnaslov2"/>
    <w:rsid w:val="00F079C5"/>
    <w:rPr>
      <w:rFonts w:ascii="Arial" w:hAnsi="Arial"/>
      <w:b/>
      <w:sz w:val="24"/>
      <w:szCs w:val="24"/>
      <w:lang w:val="it-IT" w:eastAsia="en-US"/>
    </w:rPr>
  </w:style>
  <w:style w:type="paragraph" w:styleId="Podnaslov">
    <w:name w:val="Subtitle"/>
    <w:basedOn w:val="Navaden"/>
    <w:next w:val="Navaden"/>
    <w:link w:val="PodnaslovZnak"/>
    <w:qFormat/>
    <w:rsid w:val="007D3B5D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PodnaslovZnak">
    <w:name w:val="Podnaslov Znak"/>
    <w:link w:val="Podnaslov"/>
    <w:rsid w:val="007D3B5D"/>
    <w:rPr>
      <w:rFonts w:ascii="Calibri Light" w:eastAsia="Times New Roman" w:hAnsi="Calibri Light" w:cs="Times New Roman"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7D3B5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character" w:customStyle="1" w:styleId="fontstyle01">
    <w:name w:val="fontstyle01"/>
    <w:rsid w:val="00767CC9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Krepko">
    <w:name w:val="Strong"/>
    <w:basedOn w:val="Privzetapisavaodstavka"/>
    <w:qFormat/>
    <w:rsid w:val="008D1B01"/>
    <w:rPr>
      <w:b/>
      <w:bCs/>
    </w:rPr>
  </w:style>
  <w:style w:type="paragraph" w:customStyle="1" w:styleId="Default">
    <w:name w:val="Default"/>
    <w:basedOn w:val="Navaden"/>
    <w:rsid w:val="009C7553"/>
    <w:pPr>
      <w:autoSpaceDE w:val="0"/>
      <w:autoSpaceDN w:val="0"/>
      <w:spacing w:line="240" w:lineRule="auto"/>
    </w:pPr>
    <w:rPr>
      <w:rFonts w:ascii="Times New Roman" w:eastAsiaTheme="minorHAnsi" w:hAnsi="Times New Roman"/>
      <w:color w:val="000000"/>
      <w:sz w:val="24"/>
      <w:lang w:val="sl-SI" w:eastAsia="sl-SI"/>
    </w:rPr>
  </w:style>
  <w:style w:type="character" w:styleId="Pripombasklic">
    <w:name w:val="annotation reference"/>
    <w:basedOn w:val="Privzetapisavaodstavka"/>
    <w:unhideWhenUsed/>
    <w:rsid w:val="004C6999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4C6999"/>
    <w:pPr>
      <w:spacing w:line="240" w:lineRule="auto"/>
    </w:pPr>
    <w:rPr>
      <w:rFonts w:ascii="Calibri" w:eastAsiaTheme="minorHAnsi" w:hAnsi="Calibri" w:cs="Calibri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rsid w:val="004C6999"/>
    <w:rPr>
      <w:rFonts w:ascii="Calibri" w:eastAsiaTheme="minorHAnsi" w:hAnsi="Calibri" w:cs="Calibr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111FB"/>
    <w:rPr>
      <w:rFonts w:ascii="Arial" w:eastAsia="Times New Roman" w:hAnsi="Arial" w:cs="Times New Roman"/>
      <w:b/>
      <w:bCs/>
      <w:lang w:val="en-US"/>
    </w:rPr>
  </w:style>
  <w:style w:type="character" w:customStyle="1" w:styleId="ZadevapripombeZnak">
    <w:name w:val="Zadeva pripombe Znak"/>
    <w:basedOn w:val="PripombabesediloZnak"/>
    <w:link w:val="Zadevapripombe"/>
    <w:rsid w:val="008111FB"/>
    <w:rPr>
      <w:rFonts w:ascii="Arial" w:eastAsiaTheme="minorHAnsi" w:hAnsi="Arial" w:cs="Calibri"/>
      <w:b/>
      <w:bCs/>
      <w:lang w:val="en-US" w:eastAsia="en-US"/>
    </w:rPr>
  </w:style>
  <w:style w:type="paragraph" w:styleId="Naslov">
    <w:name w:val="Title"/>
    <w:basedOn w:val="Navaden"/>
    <w:link w:val="NaslovZnak"/>
    <w:qFormat/>
    <w:rsid w:val="005A0CD2"/>
    <w:pPr>
      <w:numPr>
        <w:numId w:val="14"/>
      </w:numPr>
      <w:spacing w:before="240" w:after="60"/>
    </w:pPr>
    <w:rPr>
      <w:rFonts w:eastAsiaTheme="minorHAnsi" w:cs="Arial"/>
      <w:b/>
      <w:bCs/>
      <w:sz w:val="24"/>
      <w:lang w:val="sl-SI"/>
    </w:rPr>
  </w:style>
  <w:style w:type="character" w:customStyle="1" w:styleId="NaslovZnak">
    <w:name w:val="Naslov Znak"/>
    <w:basedOn w:val="Privzetapisavaodstavka"/>
    <w:link w:val="Naslov"/>
    <w:rsid w:val="005A0CD2"/>
    <w:rPr>
      <w:rFonts w:ascii="Arial" w:eastAsiaTheme="minorHAnsi" w:hAnsi="Arial" w:cs="Arial"/>
      <w:b/>
      <w:bCs/>
      <w:sz w:val="24"/>
      <w:szCs w:val="24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068E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E6CC9"/>
    <w:rPr>
      <w:rFonts w:ascii="Arial" w:hAnsi="Arial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D1353F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1353F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D1353F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B21C9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  <w:style w:type="paragraph" w:customStyle="1" w:styleId="xmsonormal">
    <w:name w:val="x_msonormal"/>
    <w:basedOn w:val="Navaden"/>
    <w:rsid w:val="0018097B"/>
    <w:pPr>
      <w:spacing w:line="240" w:lineRule="auto"/>
    </w:pPr>
    <w:rPr>
      <w:rFonts w:ascii="Calibri" w:eastAsiaTheme="minorHAnsi" w:hAnsi="Calibri" w:cs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5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9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68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6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4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8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0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31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5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0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me-vat-rules.ec.europa.eu/sme-web_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SL/TXT/HTML/?uri=CELEX:32021R2007&amp;qid=173166839756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isrs.si/pregledPredpisa?id=ZAKO470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SL/TXT/HTML/?uri=CELEX:32020L0285&amp;qid=173166832363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me-vat-rules.ec.europa.eu/document/download/c752ebb0-5752-420b-81e4-1295fec83ce8_en?filename=Guide_to_the_SME_scheme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e-vat-rules.ec.europa.eu/document/download/354690d2-acdb-446c-b80f-5093bb15a9d4_en?filename=sme-explanatory-notes_en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B973E05FF924392C75F7125FABE1C" ma:contentTypeVersion="" ma:contentTypeDescription="Ustvari nov dokument." ma:contentTypeScope="" ma:versionID="92b7d763a64e8ac426439fe6226ccf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fab43e4b4d4522ee103401782b6f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B043C9-2897-49F3-8F23-972BABD6E5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F9BC5-A82B-4536-B65E-56970E612D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33610A-A95D-4F76-84DF-AF6F3C625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A3AEE-85A3-4936-8E9D-653CDEADE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1212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Finančna Uprava RS</Company>
  <LinksUpToDate>false</LinksUpToDate>
  <CharactersWithSpaces>9176</CharactersWithSpaces>
  <SharedDoc>false</SharedDoc>
  <HLinks>
    <vt:vector size="54" baseType="variant">
      <vt:variant>
        <vt:i4>1114173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_Toc66348105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_Toc66348104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_Toc66348103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_Toc66348102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_Toc66348101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_Toc66348100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_Toc66348099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_Toc66348098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_Toc66348097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DURS</dc:creator>
  <cp:keywords/>
  <cp:lastModifiedBy>MT</cp:lastModifiedBy>
  <cp:revision>3</cp:revision>
  <cp:lastPrinted>2015-01-20T15:54:00Z</cp:lastPrinted>
  <dcterms:created xsi:type="dcterms:W3CDTF">2024-11-18T13:52:00Z</dcterms:created>
  <dcterms:modified xsi:type="dcterms:W3CDTF">2024-11-18T13:52:00Z</dcterms:modified>
</cp:coreProperties>
</file>